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2"/>
        <w:ind w:left="0" w:right="2125" w:firstLine="0"/>
        <w:jc w:val="right"/>
      </w:pPr>
      <w:r>
        <w:rPr/>
        <w:t>June 1, 2015</w:t>
      </w:r>
    </w:p>
    <w:p>
      <w:pPr>
        <w:pStyle w:val="BodyText"/>
        <w:rPr>
          <w:b/>
        </w:rPr>
      </w:pPr>
    </w:p>
    <w:p>
      <w:pPr>
        <w:pStyle w:val="BodyText"/>
        <w:spacing w:before="9"/>
        <w:rPr>
          <w:b/>
        </w:rPr>
      </w:pPr>
      <w:r>
        <w:rPr/>
        <w:pict>
          <v:line style="position:absolute;mso-position-horizontal-relative:page;mso-position-vertical-relative:paragraph;z-index:0;mso-wrap-distance-left:0;mso-wrap-distance-right:0" from="70.584pt,14.173077pt" to="555.094pt,14.173077pt" stroked="true" strokeweight=".481pt" strokecolor="#000000">
            <w10:wrap type="topAndBottom"/>
          </v:line>
        </w:pict>
      </w:r>
    </w:p>
    <w:p>
      <w:pPr>
        <w:pStyle w:val="ListParagraph"/>
        <w:numPr>
          <w:ilvl w:val="0"/>
          <w:numId w:val="1"/>
        </w:numPr>
        <w:tabs>
          <w:tab w:pos="453" w:val="left" w:leader="none"/>
        </w:tabs>
        <w:spacing w:line="230" w:lineRule="exact" w:before="0" w:after="24"/>
        <w:ind w:left="452" w:right="0" w:hanging="312"/>
        <w:jc w:val="left"/>
        <w:rPr>
          <w:b/>
          <w:sz w:val="22"/>
        </w:rPr>
      </w:pPr>
      <w:r>
        <w:rPr>
          <w:b/>
          <w:sz w:val="22"/>
        </w:rPr>
        <w:t>Product and Company</w:t>
      </w:r>
      <w:r>
        <w:rPr>
          <w:b/>
          <w:spacing w:val="7"/>
          <w:sz w:val="22"/>
        </w:rPr>
        <w:t> </w:t>
      </w:r>
      <w:r>
        <w:rPr>
          <w:b/>
          <w:sz w:val="22"/>
        </w:rPr>
        <w:t>Identification</w:t>
      </w:r>
    </w:p>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8pt" strokecolor="#000000"/>
          </v:group>
        </w:pict>
      </w:r>
      <w:r>
        <w:rPr>
          <w:sz w:val="2"/>
        </w:rPr>
      </w:r>
    </w:p>
    <w:p>
      <w:pPr>
        <w:pStyle w:val="BodyText"/>
        <w:spacing w:before="2"/>
        <w:rPr>
          <w:b/>
          <w:sz w:val="14"/>
        </w:rPr>
      </w:pPr>
    </w:p>
    <w:p>
      <w:pPr>
        <w:tabs>
          <w:tab w:pos="3740" w:val="left" w:leader="none"/>
        </w:tabs>
        <w:spacing w:before="72"/>
        <w:ind w:left="140" w:right="414" w:firstLine="0"/>
        <w:jc w:val="left"/>
        <w:rPr>
          <w:b/>
          <w:sz w:val="22"/>
        </w:rPr>
      </w:pPr>
      <w:r>
        <w:rPr>
          <w:sz w:val="20"/>
        </w:rPr>
        <w:t>Identity (as used on label</w:t>
      </w:r>
      <w:r>
        <w:rPr>
          <w:spacing w:val="34"/>
          <w:sz w:val="20"/>
        </w:rPr>
        <w:t> </w:t>
      </w:r>
      <w:r>
        <w:rPr>
          <w:sz w:val="20"/>
        </w:rPr>
        <w:t>&amp;</w:t>
      </w:r>
      <w:r>
        <w:rPr>
          <w:spacing w:val="7"/>
          <w:sz w:val="20"/>
        </w:rPr>
        <w:t> </w:t>
      </w:r>
      <w:r>
        <w:rPr>
          <w:sz w:val="20"/>
        </w:rPr>
        <w:t>list):</w:t>
        <w:tab/>
      </w:r>
      <w:r>
        <w:rPr>
          <w:b/>
          <w:sz w:val="22"/>
        </w:rPr>
        <w:t>EasyDecon Part</w:t>
      </w:r>
      <w:r>
        <w:rPr>
          <w:b/>
          <w:spacing w:val="11"/>
          <w:sz w:val="22"/>
        </w:rPr>
        <w:t> </w:t>
      </w:r>
      <w:r>
        <w:rPr>
          <w:b/>
          <w:sz w:val="22"/>
        </w:rPr>
        <w:t>2</w:t>
      </w:r>
    </w:p>
    <w:p>
      <w:pPr>
        <w:pStyle w:val="BodyText"/>
        <w:tabs>
          <w:tab w:pos="3741" w:val="left" w:leader="none"/>
        </w:tabs>
        <w:spacing w:before="10"/>
        <w:ind w:left="140" w:right="414"/>
      </w:pPr>
      <w:r>
        <w:rPr/>
        <w:t>Product</w:t>
      </w:r>
      <w:r>
        <w:rPr>
          <w:spacing w:val="9"/>
        </w:rPr>
        <w:t> </w:t>
      </w:r>
      <w:r>
        <w:rPr/>
        <w:t>Description:</w:t>
        <w:tab/>
        <w:t>Hydrogen Peroxide and</w:t>
      </w:r>
      <w:r>
        <w:rPr>
          <w:spacing w:val="32"/>
        </w:rPr>
        <w:t> </w:t>
      </w:r>
      <w:r>
        <w:rPr/>
        <w:t>Water</w:t>
      </w:r>
    </w:p>
    <w:p>
      <w:pPr>
        <w:pStyle w:val="BodyText"/>
        <w:tabs>
          <w:tab w:pos="3741" w:val="left" w:leader="none"/>
        </w:tabs>
        <w:spacing w:before="10"/>
        <w:ind w:left="140" w:right="414"/>
      </w:pPr>
      <w:r>
        <w:rPr/>
        <w:t>Intended</w:t>
      </w:r>
      <w:r>
        <w:rPr>
          <w:spacing w:val="6"/>
        </w:rPr>
        <w:t> </w:t>
      </w:r>
      <w:r>
        <w:rPr/>
        <w:t>Use:</w:t>
        <w:tab/>
        <w:t>Disinfectant,  Mildewstat, Virucide, only for use when added </w:t>
      </w:r>
      <w:r>
        <w:rPr>
          <w:spacing w:val="10"/>
        </w:rPr>
        <w:t> </w:t>
      </w:r>
      <w:r>
        <w:rPr/>
        <w:t>to</w:t>
      </w:r>
    </w:p>
    <w:p>
      <w:pPr>
        <w:spacing w:before="10"/>
        <w:ind w:left="3723" w:right="4546" w:firstLine="0"/>
        <w:jc w:val="center"/>
        <w:rPr>
          <w:sz w:val="22"/>
        </w:rPr>
      </w:pPr>
      <w:r>
        <w:rPr>
          <w:sz w:val="22"/>
        </w:rPr>
        <w:t>EasyDecon Part 1</w:t>
      </w:r>
    </w:p>
    <w:p>
      <w:pPr>
        <w:tabs>
          <w:tab w:pos="3741" w:val="left" w:leader="none"/>
        </w:tabs>
        <w:spacing w:before="131"/>
        <w:ind w:left="140" w:right="414" w:firstLine="0"/>
        <w:jc w:val="left"/>
        <w:rPr>
          <w:sz w:val="22"/>
        </w:rPr>
      </w:pPr>
      <w:r>
        <w:rPr>
          <w:sz w:val="22"/>
        </w:rPr>
        <w:t>Supplier</w:t>
      </w:r>
      <w:r>
        <w:rPr>
          <w:spacing w:val="13"/>
          <w:sz w:val="22"/>
        </w:rPr>
        <w:t> </w:t>
      </w:r>
      <w:r>
        <w:rPr>
          <w:sz w:val="22"/>
        </w:rPr>
        <w:t>Details:</w:t>
        <w:tab/>
      </w:r>
      <w:r>
        <w:rPr>
          <w:spacing w:val="2"/>
          <w:sz w:val="22"/>
        </w:rPr>
        <w:t>EFT </w:t>
      </w:r>
      <w:r>
        <w:rPr>
          <w:sz w:val="22"/>
        </w:rPr>
        <w:t>Holdings</w:t>
      </w:r>
      <w:r>
        <w:rPr>
          <w:spacing w:val="19"/>
          <w:sz w:val="22"/>
        </w:rPr>
        <w:t> </w:t>
      </w:r>
      <w:r>
        <w:rPr>
          <w:sz w:val="22"/>
        </w:rPr>
        <w:t>Inc.</w:t>
      </w:r>
    </w:p>
    <w:p>
      <w:pPr>
        <w:spacing w:line="249" w:lineRule="auto" w:before="11"/>
        <w:ind w:left="3742" w:right="3800" w:hanging="1"/>
        <w:jc w:val="left"/>
        <w:rPr>
          <w:sz w:val="22"/>
        </w:rPr>
      </w:pPr>
      <w:r>
        <w:rPr>
          <w:sz w:val="22"/>
        </w:rPr>
        <w:t>1275 Rock Creek Circle Lafayette, CO 80026</w:t>
      </w:r>
    </w:p>
    <w:p>
      <w:pPr>
        <w:spacing w:before="1"/>
        <w:ind w:left="3377" w:right="4563" w:firstLine="0"/>
        <w:jc w:val="center"/>
        <w:rPr>
          <w:sz w:val="22"/>
        </w:rPr>
      </w:pPr>
      <w:r>
        <w:rPr>
          <w:sz w:val="22"/>
        </w:rPr>
        <w:t>303-309-6309</w:t>
      </w:r>
    </w:p>
    <w:p>
      <w:pPr>
        <w:spacing w:before="11"/>
        <w:ind w:left="142" w:right="414" w:firstLine="0"/>
        <w:jc w:val="left"/>
        <w:rPr>
          <w:sz w:val="22"/>
        </w:rPr>
      </w:pPr>
      <w:r>
        <w:rPr>
          <w:sz w:val="22"/>
        </w:rPr>
        <w:t>Emergency Telephone</w:t>
      </w:r>
    </w:p>
    <w:p>
      <w:pPr>
        <w:tabs>
          <w:tab w:pos="3743" w:val="left" w:leader="none"/>
        </w:tabs>
        <w:spacing w:before="11"/>
        <w:ind w:left="142" w:right="414" w:firstLine="0"/>
        <w:jc w:val="left"/>
        <w:rPr>
          <w:sz w:val="22"/>
        </w:rPr>
      </w:pPr>
      <w:r>
        <w:rPr/>
        <w:pict>
          <v:line style="position:absolute;mso-position-horizontal-relative:page;mso-position-vertical-relative:paragraph;z-index:1072;mso-wrap-distance-left:0;mso-wrap-distance-right:0" from="70.584pt,19.680649pt" to="555.094pt,19.680649pt" stroked="true" strokeweight=".481pt" strokecolor="#000000">
            <w10:wrap type="topAndBottom"/>
          </v:line>
        </w:pict>
      </w:r>
      <w:r>
        <w:rPr>
          <w:sz w:val="22"/>
        </w:rPr>
        <w:t>Number (with hours</w:t>
      </w:r>
      <w:r>
        <w:rPr>
          <w:spacing w:val="38"/>
          <w:sz w:val="22"/>
        </w:rPr>
        <w:t> </w:t>
      </w:r>
      <w:r>
        <w:rPr>
          <w:sz w:val="22"/>
        </w:rPr>
        <w:t>of</w:t>
      </w:r>
      <w:r>
        <w:rPr>
          <w:spacing w:val="8"/>
          <w:sz w:val="22"/>
        </w:rPr>
        <w:t> </w:t>
      </w:r>
      <w:r>
        <w:rPr>
          <w:sz w:val="22"/>
        </w:rPr>
        <w:t>operation)</w:t>
        <w:tab/>
        <w:t>1-800-424-9300</w:t>
      </w:r>
      <w:r>
        <w:rPr>
          <w:spacing w:val="15"/>
          <w:sz w:val="22"/>
        </w:rPr>
        <w:t> </w:t>
      </w:r>
      <w:r>
        <w:rPr>
          <w:sz w:val="22"/>
        </w:rPr>
        <w:t>(24/7)</w:t>
      </w:r>
    </w:p>
    <w:p>
      <w:pPr>
        <w:pStyle w:val="ListParagraph"/>
        <w:numPr>
          <w:ilvl w:val="0"/>
          <w:numId w:val="1"/>
        </w:numPr>
        <w:tabs>
          <w:tab w:pos="453" w:val="left" w:leader="none"/>
        </w:tabs>
        <w:spacing w:line="240" w:lineRule="auto" w:before="0" w:after="24"/>
        <w:ind w:left="452" w:right="0" w:hanging="312"/>
        <w:jc w:val="left"/>
        <w:rPr>
          <w:b/>
          <w:sz w:val="22"/>
        </w:rPr>
      </w:pPr>
      <w:r>
        <w:rPr>
          <w:b/>
          <w:sz w:val="22"/>
        </w:rPr>
        <w:t>Hazards</w:t>
      </w:r>
      <w:r>
        <w:rPr>
          <w:b/>
          <w:spacing w:val="-4"/>
          <w:sz w:val="22"/>
        </w:rPr>
        <w:t> </w:t>
      </w:r>
      <w:r>
        <w:rPr>
          <w:b/>
          <w:sz w:val="22"/>
        </w:rPr>
        <w:t>Identification</w:t>
      </w:r>
    </w:p>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81pt" strokecolor="#000000"/>
          </v:group>
        </w:pict>
      </w:r>
      <w:r>
        <w:rPr>
          <w:sz w:val="2"/>
        </w:rPr>
      </w:r>
    </w:p>
    <w:p>
      <w:pPr>
        <w:spacing w:line="626" w:lineRule="auto" w:before="115"/>
        <w:ind w:left="140" w:right="7620" w:firstLine="0"/>
        <w:jc w:val="left"/>
        <w:rPr>
          <w:sz w:val="20"/>
        </w:rPr>
      </w:pPr>
      <w:r>
        <w:rPr/>
        <w:drawing>
          <wp:anchor distT="0" distB="0" distL="0" distR="0" allowOverlap="1" layoutInCell="1" locked="0" behindDoc="1" simplePos="0" relativeHeight="268420943">
            <wp:simplePos x="0" y="0"/>
            <wp:positionH relativeFrom="page">
              <wp:posOffset>1371600</wp:posOffset>
            </wp:positionH>
            <wp:positionV relativeFrom="paragraph">
              <wp:posOffset>679269</wp:posOffset>
            </wp:positionV>
            <wp:extent cx="987425" cy="100202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987425" cy="1002029"/>
                    </a:xfrm>
                    <a:prstGeom prst="rect">
                      <a:avLst/>
                    </a:prstGeom>
                  </pic:spPr>
                </pic:pic>
              </a:graphicData>
            </a:graphic>
          </wp:anchor>
        </w:drawing>
      </w:r>
      <w:r>
        <w:rPr>
          <w:b/>
          <w:i/>
          <w:sz w:val="20"/>
        </w:rPr>
        <w:t>Hazardous Classification</w:t>
      </w:r>
      <w:r>
        <w:rPr>
          <w:sz w:val="20"/>
        </w:rPr>
        <w:t>: Pictogram:</w:t>
      </w:r>
    </w:p>
    <w:p>
      <w:pPr>
        <w:pStyle w:val="BodyText"/>
      </w:pPr>
    </w:p>
    <w:p>
      <w:pPr>
        <w:pStyle w:val="BodyText"/>
      </w:pPr>
    </w:p>
    <w:p>
      <w:pPr>
        <w:pStyle w:val="BodyText"/>
      </w:pPr>
    </w:p>
    <w:p>
      <w:pPr>
        <w:pStyle w:val="BodyText"/>
      </w:pPr>
    </w:p>
    <w:p>
      <w:pPr>
        <w:pStyle w:val="BodyText"/>
      </w:pPr>
    </w:p>
    <w:p>
      <w:pPr>
        <w:pStyle w:val="BodyText"/>
        <w:spacing w:before="1"/>
        <w:rPr>
          <w:sz w:val="29"/>
        </w:rPr>
      </w:pPr>
    </w:p>
    <w:p>
      <w:pPr>
        <w:pStyle w:val="BodyText"/>
        <w:tabs>
          <w:tab w:pos="1580" w:val="left" w:leader="none"/>
        </w:tabs>
        <w:ind w:left="140" w:right="414"/>
      </w:pPr>
      <w:r>
        <w:rPr/>
        <w:t>Signal</w:t>
      </w:r>
      <w:r>
        <w:rPr>
          <w:spacing w:val="6"/>
        </w:rPr>
        <w:t> </w:t>
      </w:r>
      <w:r>
        <w:rPr/>
        <w:t>word:</w:t>
        <w:tab/>
        <w:t>Danger</w:t>
      </w:r>
    </w:p>
    <w:p>
      <w:pPr>
        <w:pStyle w:val="BodyText"/>
        <w:spacing w:before="130"/>
        <w:ind w:left="140" w:right="414"/>
      </w:pPr>
      <w:r>
        <w:rPr/>
        <w:t>Hazard Statement: Causes skin burns,  can cause irreversible eye injury, harmful if swallowed or   inhaled</w:t>
      </w:r>
    </w:p>
    <w:p>
      <w:pPr>
        <w:pStyle w:val="BodyText"/>
        <w:spacing w:line="249" w:lineRule="auto" w:before="130"/>
        <w:ind w:left="141" w:right="1168" w:hanging="1"/>
      </w:pPr>
      <w:r>
        <w:rPr/>
        <w:t>Under conditions of intended use this product is not considered hazardous and does not pose a risk to health.</w:t>
      </w:r>
    </w:p>
    <w:p>
      <w:pPr>
        <w:pStyle w:val="BodyText"/>
        <w:tabs>
          <w:tab w:pos="3022" w:val="left" w:leader="none"/>
        </w:tabs>
        <w:spacing w:line="285" w:lineRule="auto" w:before="111"/>
        <w:ind w:left="142" w:right="3800" w:hanging="1"/>
      </w:pPr>
      <w:r>
        <w:rPr/>
        <w:t>Overview; Ingredients not listed as a carcinogen by IARC, NTP, or</w:t>
      </w:r>
      <w:r>
        <w:rPr>
          <w:spacing w:val="-32"/>
        </w:rPr>
        <w:t> </w:t>
      </w:r>
      <w:r>
        <w:rPr/>
        <w:t>OSHA DOT</w:t>
      </w:r>
      <w:r>
        <w:rPr>
          <w:spacing w:val="13"/>
        </w:rPr>
        <w:t> </w:t>
      </w:r>
      <w:r>
        <w:rPr/>
        <w:t>Hazard</w:t>
      </w:r>
      <w:r>
        <w:rPr>
          <w:spacing w:val="11"/>
        </w:rPr>
        <w:t> </w:t>
      </w:r>
      <w:r>
        <w:rPr/>
        <w:t>Class:</w:t>
        <w:tab/>
        <w:t>Not</w:t>
      </w:r>
      <w:r>
        <w:rPr>
          <w:spacing w:val="6"/>
        </w:rPr>
        <w:t> </w:t>
      </w:r>
      <w:r>
        <w:rPr/>
        <w:t>Applicable</w:t>
      </w:r>
    </w:p>
    <w:p>
      <w:pPr>
        <w:pStyle w:val="BodyText"/>
        <w:tabs>
          <w:tab w:pos="3023" w:val="left" w:leader="none"/>
        </w:tabs>
        <w:spacing w:line="198" w:lineRule="exact"/>
        <w:ind w:left="142" w:right="414"/>
      </w:pPr>
      <w:r>
        <w:rPr/>
        <w:t>Threshold Value</w:t>
      </w:r>
      <w:r>
        <w:rPr>
          <w:spacing w:val="19"/>
        </w:rPr>
        <w:t> </w:t>
      </w:r>
      <w:r>
        <w:rPr/>
        <w:t>Limit</w:t>
      </w:r>
      <w:r>
        <w:rPr>
          <w:spacing w:val="6"/>
        </w:rPr>
        <w:t> </w:t>
      </w:r>
      <w:r>
        <w:rPr/>
        <w:t>(TLV):</w:t>
        <w:tab/>
        <w:t>Not</w:t>
      </w:r>
      <w:r>
        <w:rPr>
          <w:spacing w:val="14"/>
        </w:rPr>
        <w:t> </w:t>
      </w:r>
      <w:r>
        <w:rPr/>
        <w:t>Determined</w:t>
      </w:r>
    </w:p>
    <w:p>
      <w:pPr>
        <w:pStyle w:val="Heading2"/>
        <w:spacing w:before="130"/>
      </w:pPr>
      <w:r>
        <w:rPr/>
        <w:t>Signs and Symptoms of Exposure:</w:t>
      </w:r>
    </w:p>
    <w:p>
      <w:pPr>
        <w:pStyle w:val="BodyText"/>
        <w:tabs>
          <w:tab w:pos="1580" w:val="left" w:leader="none"/>
        </w:tabs>
        <w:spacing w:line="276" w:lineRule="auto" w:before="120"/>
        <w:ind w:left="1580" w:right="272" w:hanging="1441"/>
      </w:pPr>
      <w:r>
        <w:rPr/>
        <w:t>Eyes</w:t>
        <w:tab/>
        <w:t>Will cause irritation and inflammation characterized by redness, watering, and itching;</w:t>
      </w:r>
      <w:r>
        <w:rPr>
          <w:spacing w:val="-20"/>
        </w:rPr>
        <w:t> </w:t>
      </w:r>
      <w:r>
        <w:rPr/>
        <w:t>depending</w:t>
      </w:r>
      <w:r>
        <w:rPr>
          <w:spacing w:val="-4"/>
        </w:rPr>
        <w:t> </w:t>
      </w:r>
      <w:r>
        <w:rPr/>
        <w:t>on</w:t>
      </w:r>
      <w:r>
        <w:rPr>
          <w:w w:val="99"/>
        </w:rPr>
        <w:t> </w:t>
      </w:r>
      <w:r>
        <w:rPr/>
        <w:t>length of exposure, solution concentration and first aid measures</w:t>
      </w:r>
      <w:r>
        <w:rPr>
          <w:spacing w:val="-26"/>
        </w:rPr>
        <w:t> </w:t>
      </w:r>
      <w:r>
        <w:rPr/>
        <w:t>provided.</w:t>
      </w:r>
    </w:p>
    <w:p>
      <w:pPr>
        <w:pStyle w:val="BodyText"/>
        <w:tabs>
          <w:tab w:pos="1581" w:val="left" w:leader="none"/>
        </w:tabs>
        <w:spacing w:line="276" w:lineRule="auto" w:before="3"/>
        <w:ind w:left="1581" w:right="867" w:hanging="1441"/>
      </w:pPr>
      <w:r>
        <w:rPr/>
        <w:t>Skin</w:t>
        <w:tab/>
        <w:t>Causes skin irritation characterized by reddening.  Prolonged contact with product</w:t>
      </w:r>
      <w:r>
        <w:rPr>
          <w:spacing w:val="-20"/>
        </w:rPr>
        <w:t> </w:t>
      </w:r>
      <w:r>
        <w:rPr/>
        <w:t>may</w:t>
      </w:r>
      <w:r>
        <w:rPr>
          <w:spacing w:val="-4"/>
        </w:rPr>
        <w:t> </w:t>
      </w:r>
      <w:r>
        <w:rPr/>
        <w:t>cause</w:t>
      </w:r>
      <w:r>
        <w:rPr>
          <w:w w:val="99"/>
        </w:rPr>
        <w:t> </w:t>
      </w:r>
      <w:r>
        <w:rPr/>
        <w:t>discomfort, no adverse effects expected form absorption of material through</w:t>
      </w:r>
      <w:r>
        <w:rPr>
          <w:spacing w:val="-19"/>
        </w:rPr>
        <w:t> </w:t>
      </w:r>
      <w:r>
        <w:rPr/>
        <w:t>skin.</w:t>
      </w:r>
    </w:p>
    <w:p>
      <w:pPr>
        <w:pStyle w:val="BodyText"/>
        <w:tabs>
          <w:tab w:pos="1581" w:val="left" w:leader="none"/>
        </w:tabs>
        <w:spacing w:before="1"/>
        <w:ind w:left="141" w:right="414"/>
      </w:pPr>
      <w:r>
        <w:rPr/>
        <w:t>Ingestion</w:t>
        <w:tab/>
        <w:t>Not expected to be a primary route of exposure, will produce gastrointestinal</w:t>
      </w:r>
      <w:r>
        <w:rPr>
          <w:spacing w:val="-32"/>
        </w:rPr>
        <w:t> </w:t>
      </w:r>
      <w:r>
        <w:rPr/>
        <w:t>discomfort.</w:t>
      </w:r>
    </w:p>
    <w:p>
      <w:pPr>
        <w:pStyle w:val="BodyText"/>
        <w:tabs>
          <w:tab w:pos="1580" w:val="left" w:leader="none"/>
        </w:tabs>
        <w:spacing w:line="276" w:lineRule="auto" w:before="34"/>
        <w:ind w:left="1580" w:right="414" w:hanging="1441"/>
      </w:pPr>
      <w:r>
        <w:rPr/>
        <w:t>Inhalation</w:t>
        <w:tab/>
        <w:t>Not expected to be a primary route of exposure, vapors or mists in unusually high</w:t>
      </w:r>
      <w:r>
        <w:rPr>
          <w:spacing w:val="-27"/>
        </w:rPr>
        <w:t> </w:t>
      </w:r>
      <w:r>
        <w:rPr/>
        <w:t>concentration,</w:t>
      </w:r>
      <w:r>
        <w:rPr>
          <w:spacing w:val="-2"/>
        </w:rPr>
        <w:t> </w:t>
      </w:r>
      <w:r>
        <w:rPr/>
        <w:t>in</w:t>
      </w:r>
      <w:r>
        <w:rPr>
          <w:w w:val="99"/>
        </w:rPr>
        <w:t> </w:t>
      </w:r>
      <w:r>
        <w:rPr/>
        <w:t>poorly ventilated areas may cause irritation of nose and throat characterized by</w:t>
      </w:r>
      <w:r>
        <w:rPr>
          <w:spacing w:val="-24"/>
        </w:rPr>
        <w:t> </w:t>
      </w:r>
      <w:r>
        <w:rPr/>
        <w:t>coughing.</w:t>
      </w:r>
    </w:p>
    <w:p>
      <w:pPr>
        <w:pStyle w:val="BodyText"/>
        <w:spacing w:before="5"/>
        <w:rPr>
          <w:sz w:val="26"/>
        </w:rPr>
      </w:pPr>
      <w:r>
        <w:rPr/>
        <w:pict>
          <v:line style="position:absolute;mso-position-horizontal-relative:page;mso-position-vertical-relative:paragraph;z-index:1120;mso-wrap-distance-left:0;mso-wrap-distance-right:0" from="70.584pt,17.422298pt" to="555.094pt,17.422298pt" stroked="true" strokeweight=".48pt" strokecolor="#000000">
            <w10:wrap type="topAndBottom"/>
          </v:line>
        </w:pict>
      </w:r>
    </w:p>
    <w:p>
      <w:pPr>
        <w:pStyle w:val="Heading1"/>
        <w:numPr>
          <w:ilvl w:val="0"/>
          <w:numId w:val="1"/>
        </w:numPr>
        <w:tabs>
          <w:tab w:pos="452" w:val="left" w:leader="none"/>
        </w:tabs>
        <w:spacing w:line="240" w:lineRule="auto" w:before="0" w:after="24"/>
        <w:ind w:left="451" w:right="0" w:hanging="311"/>
        <w:jc w:val="left"/>
      </w:pPr>
      <w:r>
        <w:rPr/>
        <w:t>Composition/ Information on</w:t>
      </w:r>
      <w:r>
        <w:rPr>
          <w:spacing w:val="13"/>
        </w:rPr>
        <w:t> </w:t>
      </w:r>
      <w:r>
        <w:rPr/>
        <w:t>Ingredients</w:t>
      </w:r>
    </w:p>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81pt" strokecolor="#000000"/>
          </v:group>
        </w:pict>
      </w:r>
      <w:r>
        <w:rPr>
          <w:sz w:val="2"/>
        </w:rPr>
      </w:r>
    </w:p>
    <w:p>
      <w:pPr>
        <w:pStyle w:val="Heading2"/>
        <w:tabs>
          <w:tab w:pos="4477" w:val="left" w:leader="none"/>
          <w:tab w:pos="6208" w:val="left" w:leader="none"/>
        </w:tabs>
        <w:ind w:left="337"/>
      </w:pPr>
      <w:r>
        <w:rPr/>
        <w:t>Component</w:t>
        <w:tab/>
        <w:t>CAS-No.</w:t>
        <w:tab/>
        <w:t>%Wt.</w:t>
      </w: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1"/>
        <w:gridCol w:w="1349"/>
        <w:gridCol w:w="1495"/>
      </w:tblGrid>
      <w:tr>
        <w:trPr>
          <w:trHeight w:val="240" w:hRule="exact"/>
        </w:trPr>
        <w:tc>
          <w:tcPr>
            <w:tcW w:w="4141" w:type="dxa"/>
          </w:tcPr>
          <w:p>
            <w:pPr>
              <w:pStyle w:val="TableParagraph"/>
              <w:spacing w:line="226" w:lineRule="exact"/>
              <w:ind w:left="100"/>
              <w:rPr>
                <w:sz w:val="20"/>
              </w:rPr>
            </w:pPr>
            <w:r>
              <w:rPr>
                <w:sz w:val="20"/>
              </w:rPr>
              <w:t>Hydrogen Peroxide</w:t>
            </w:r>
          </w:p>
        </w:tc>
        <w:tc>
          <w:tcPr>
            <w:tcW w:w="1349" w:type="dxa"/>
          </w:tcPr>
          <w:p>
            <w:pPr>
              <w:pStyle w:val="TableParagraph"/>
              <w:spacing w:line="226" w:lineRule="exact"/>
              <w:ind w:left="100"/>
              <w:rPr>
                <w:sz w:val="20"/>
              </w:rPr>
            </w:pPr>
            <w:r>
              <w:rPr>
                <w:sz w:val="20"/>
              </w:rPr>
              <w:t>7722-84-1</w:t>
            </w:r>
          </w:p>
        </w:tc>
        <w:tc>
          <w:tcPr>
            <w:tcW w:w="1495" w:type="dxa"/>
          </w:tcPr>
          <w:p>
            <w:pPr>
              <w:pStyle w:val="TableParagraph"/>
              <w:spacing w:line="226" w:lineRule="exact"/>
              <w:ind w:left="546" w:right="547"/>
              <w:jc w:val="center"/>
              <w:rPr>
                <w:sz w:val="20"/>
              </w:rPr>
            </w:pPr>
            <w:r>
              <w:rPr>
                <w:sz w:val="20"/>
              </w:rPr>
              <w:t>7.9</w:t>
            </w:r>
          </w:p>
        </w:tc>
      </w:tr>
      <w:tr>
        <w:trPr>
          <w:trHeight w:val="242" w:hRule="exact"/>
        </w:trPr>
        <w:tc>
          <w:tcPr>
            <w:tcW w:w="4141" w:type="dxa"/>
          </w:tcPr>
          <w:p>
            <w:pPr>
              <w:pStyle w:val="TableParagraph"/>
              <w:spacing w:line="226" w:lineRule="exact"/>
              <w:ind w:left="100"/>
              <w:rPr>
                <w:sz w:val="20"/>
              </w:rPr>
            </w:pPr>
            <w:r>
              <w:rPr>
                <w:sz w:val="20"/>
              </w:rPr>
              <w:t>Water</w:t>
            </w:r>
          </w:p>
        </w:tc>
        <w:tc>
          <w:tcPr>
            <w:tcW w:w="1349" w:type="dxa"/>
          </w:tcPr>
          <w:p>
            <w:pPr>
              <w:pStyle w:val="TableParagraph"/>
              <w:spacing w:line="226" w:lineRule="exact"/>
              <w:ind w:left="100"/>
              <w:rPr>
                <w:sz w:val="20"/>
              </w:rPr>
            </w:pPr>
            <w:r>
              <w:rPr>
                <w:sz w:val="20"/>
              </w:rPr>
              <w:t>7732-18-5</w:t>
            </w:r>
          </w:p>
        </w:tc>
        <w:tc>
          <w:tcPr>
            <w:tcW w:w="1495" w:type="dxa"/>
          </w:tcPr>
          <w:p>
            <w:pPr>
              <w:pStyle w:val="TableParagraph"/>
              <w:spacing w:line="226" w:lineRule="exact"/>
              <w:ind w:left="547" w:right="547"/>
              <w:jc w:val="center"/>
              <w:rPr>
                <w:sz w:val="20"/>
              </w:rPr>
            </w:pPr>
            <w:r>
              <w:rPr>
                <w:sz w:val="20"/>
              </w:rPr>
              <w:t>92.1</w:t>
            </w:r>
          </w:p>
        </w:tc>
      </w:tr>
    </w:tbl>
    <w:p>
      <w:pPr>
        <w:spacing w:after="0" w:line="226" w:lineRule="exact"/>
        <w:jc w:val="center"/>
        <w:rPr>
          <w:sz w:val="20"/>
        </w:rPr>
        <w:sectPr>
          <w:headerReference w:type="default" r:id="rId5"/>
          <w:footerReference w:type="default" r:id="rId6"/>
          <w:type w:val="continuous"/>
          <w:pgSz w:w="12240" w:h="15840"/>
          <w:pgMar w:header="757" w:footer="995" w:top="980" w:bottom="1180" w:left="1300" w:right="1020"/>
          <w:pgNumType w:start="1"/>
        </w:sectPr>
      </w:pPr>
    </w:p>
    <w:p>
      <w:pPr>
        <w:pStyle w:val="BodyText"/>
        <w:rPr>
          <w:b/>
        </w:rPr>
      </w:pPr>
    </w:p>
    <w:p>
      <w:pPr>
        <w:pStyle w:val="BodyText"/>
        <w:spacing w:before="4"/>
        <w:rPr>
          <w:b/>
          <w:sz w:val="26"/>
        </w:rPr>
      </w:pPr>
    </w:p>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8pt" strokecolor="#000000"/>
          </v:group>
        </w:pict>
      </w:r>
      <w:r>
        <w:rPr>
          <w:sz w:val="2"/>
        </w:rPr>
      </w:r>
    </w:p>
    <w:p>
      <w:pPr>
        <w:pStyle w:val="BodyText"/>
        <w:spacing w:before="7"/>
        <w:rPr>
          <w:b/>
          <w:sz w:val="5"/>
        </w:rPr>
      </w:pPr>
    </w:p>
    <w:p>
      <w:pPr>
        <w:spacing w:before="73"/>
        <w:ind w:left="140" w:right="414" w:firstLine="0"/>
        <w:jc w:val="left"/>
        <w:rPr>
          <w:b/>
          <w:sz w:val="22"/>
        </w:rPr>
      </w:pPr>
      <w:r>
        <w:rPr/>
        <w:pict>
          <v:line style="position:absolute;mso-position-horizontal-relative:page;mso-position-vertical-relative:paragraph;z-index:1216;mso-wrap-distance-left:0;mso-wrap-distance-right:0" from="70.584pt,17.759520pt" to="555.094pt,17.759520pt" stroked="true" strokeweight=".48pt" strokecolor="#000000">
            <w10:wrap type="topAndBottom"/>
          </v:line>
        </w:pict>
      </w:r>
      <w:r>
        <w:rPr>
          <w:b/>
          <w:sz w:val="22"/>
        </w:rPr>
        <w:t>4.   First Aid Measures</w:t>
      </w:r>
    </w:p>
    <w:p>
      <w:pPr>
        <w:pStyle w:val="BodyText"/>
        <w:tabs>
          <w:tab w:pos="1400" w:val="left" w:leader="none"/>
        </w:tabs>
        <w:spacing w:line="247" w:lineRule="auto" w:before="96"/>
        <w:ind w:left="1407" w:right="593" w:hanging="1268"/>
      </w:pPr>
      <w:r>
        <w:rPr>
          <w:b/>
          <w:i/>
        </w:rPr>
        <w:t>Inhalation:</w:t>
        <w:tab/>
      </w:r>
      <w:r>
        <w:rPr/>
        <w:t>Remove to fresh air.   If irritation persists,  seek medical attention.  If breathing has</w:t>
      </w:r>
      <w:r>
        <w:rPr>
          <w:spacing w:val="9"/>
        </w:rPr>
        <w:t> </w:t>
      </w:r>
      <w:r>
        <w:rPr/>
        <w:t>stopped,</w:t>
      </w:r>
      <w:r>
        <w:rPr>
          <w:spacing w:val="25"/>
        </w:rPr>
        <w:t> </w:t>
      </w:r>
      <w:r>
        <w:rPr/>
        <w:t>assist</w:t>
      </w:r>
      <w:r>
        <w:rPr>
          <w:w w:val="99"/>
        </w:rPr>
        <w:t> </w:t>
      </w:r>
      <w:r>
        <w:rPr/>
        <w:t>ventilation with a mechanical device or use rescue breathing with a pocket </w:t>
      </w:r>
      <w:r>
        <w:rPr>
          <w:spacing w:val="35"/>
        </w:rPr>
        <w:t> </w:t>
      </w:r>
      <w:r>
        <w:rPr/>
        <w:t>mask.</w:t>
      </w:r>
    </w:p>
    <w:p>
      <w:pPr>
        <w:pStyle w:val="BodyText"/>
        <w:tabs>
          <w:tab w:pos="1400" w:val="left" w:leader="none"/>
        </w:tabs>
        <w:spacing w:before="123"/>
        <w:ind w:left="140" w:right="414"/>
      </w:pPr>
      <w:r>
        <w:rPr>
          <w:b/>
          <w:i/>
        </w:rPr>
        <w:t>Skin:</w:t>
        <w:tab/>
      </w:r>
      <w:r>
        <w:rPr/>
        <w:t>Wash skin with soap and water. Seek medical attention if irritation occurs and  </w:t>
      </w:r>
      <w:r>
        <w:rPr>
          <w:spacing w:val="23"/>
        </w:rPr>
        <w:t> </w:t>
      </w:r>
      <w:r>
        <w:rPr/>
        <w:t>persists.</w:t>
      </w:r>
    </w:p>
    <w:p>
      <w:pPr>
        <w:pStyle w:val="BodyText"/>
        <w:tabs>
          <w:tab w:pos="1400" w:val="left" w:leader="none"/>
        </w:tabs>
        <w:spacing w:line="247" w:lineRule="auto" w:before="51"/>
        <w:ind w:left="1400" w:right="792" w:hanging="1260"/>
      </w:pPr>
      <w:r>
        <w:rPr>
          <w:b/>
          <w:i/>
        </w:rPr>
        <w:t>Eyes:</w:t>
        <w:tab/>
      </w:r>
      <w:r>
        <w:rPr/>
        <w:t>Immediately flush with water for 15 minutes, lifting upper and lower lids intermittently.  </w:t>
      </w:r>
      <w:r>
        <w:rPr>
          <w:spacing w:val="42"/>
        </w:rPr>
        <w:t> </w:t>
      </w:r>
      <w:r>
        <w:rPr/>
        <w:t>If</w:t>
      </w:r>
      <w:r>
        <w:rPr>
          <w:spacing w:val="8"/>
        </w:rPr>
        <w:t> </w:t>
      </w:r>
      <w:r>
        <w:rPr/>
        <w:t>eye</w:t>
      </w:r>
      <w:r>
        <w:rPr>
          <w:w w:val="99"/>
        </w:rPr>
        <w:t> </w:t>
      </w:r>
      <w:r>
        <w:rPr/>
        <w:t>irritation persists,  seek medical</w:t>
      </w:r>
      <w:r>
        <w:rPr>
          <w:spacing w:val="3"/>
        </w:rPr>
        <w:t> </w:t>
      </w:r>
      <w:r>
        <w:rPr/>
        <w:t>attention.</w:t>
      </w:r>
    </w:p>
    <w:p>
      <w:pPr>
        <w:pStyle w:val="BodyText"/>
        <w:tabs>
          <w:tab w:pos="1400" w:val="left" w:leader="none"/>
        </w:tabs>
        <w:spacing w:line="249" w:lineRule="auto" w:before="46"/>
        <w:ind w:left="1407" w:right="366" w:hanging="1268"/>
      </w:pPr>
      <w:r>
        <w:rPr>
          <w:b/>
          <w:i/>
        </w:rPr>
        <w:t>Ingestion</w:t>
      </w:r>
      <w:r>
        <w:rPr/>
        <w:t>:</w:t>
        <w:tab/>
        <w:t>If swallowed, get immediate medical attention or advice. If victim is conscious and able  </w:t>
      </w:r>
      <w:r>
        <w:rPr>
          <w:spacing w:val="16"/>
        </w:rPr>
        <w:t> </w:t>
      </w:r>
      <w:r>
        <w:rPr/>
        <w:t>to</w:t>
      </w:r>
      <w:r>
        <w:rPr>
          <w:spacing w:val="7"/>
        </w:rPr>
        <w:t> </w:t>
      </w:r>
      <w:r>
        <w:rPr/>
        <w:t>swallow,</w:t>
      </w:r>
      <w:r>
        <w:rPr>
          <w:w w:val="99"/>
        </w:rPr>
        <w:t> </w:t>
      </w:r>
      <w:r>
        <w:rPr/>
        <w:t>give large amounts of water. Do not give anything by mouth to the person who is unconscious or convulsing. Do not induce vomiting unless directed by a </w:t>
      </w:r>
      <w:r>
        <w:rPr>
          <w:spacing w:val="30"/>
        </w:rPr>
        <w:t> </w:t>
      </w:r>
      <w:r>
        <w:rPr/>
        <w:t>physician.</w:t>
      </w:r>
    </w:p>
    <w:p>
      <w:pPr>
        <w:pStyle w:val="BodyText"/>
        <w:spacing w:before="9" w:after="1"/>
        <w:rPr>
          <w:sz w:val="28"/>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
        <w:gridCol w:w="2701"/>
        <w:gridCol w:w="2612"/>
        <w:gridCol w:w="4169"/>
      </w:tblGrid>
      <w:tr>
        <w:trPr>
          <w:trHeight w:val="324" w:hRule="exact"/>
        </w:trPr>
        <w:tc>
          <w:tcPr>
            <w:tcW w:w="9690" w:type="dxa"/>
            <w:gridSpan w:val="4"/>
            <w:tcBorders>
              <w:left w:val="nil"/>
              <w:bottom w:val="single" w:sz="12" w:space="0" w:color="000000"/>
              <w:right w:val="nil"/>
            </w:tcBorders>
          </w:tcPr>
          <w:p>
            <w:pPr>
              <w:pStyle w:val="TableParagraph"/>
              <w:spacing w:before="27"/>
              <w:ind w:left="28"/>
              <w:rPr>
                <w:b/>
                <w:sz w:val="22"/>
              </w:rPr>
            </w:pPr>
            <w:r>
              <w:rPr>
                <w:b/>
                <w:sz w:val="22"/>
              </w:rPr>
              <w:t>5.   Fire Fighting Measures</w:t>
            </w:r>
          </w:p>
        </w:tc>
      </w:tr>
      <w:tr>
        <w:trPr>
          <w:trHeight w:val="139" w:hRule="exact"/>
        </w:trPr>
        <w:tc>
          <w:tcPr>
            <w:tcW w:w="9690" w:type="dxa"/>
            <w:gridSpan w:val="4"/>
            <w:tcBorders>
              <w:top w:val="single" w:sz="12" w:space="0" w:color="000000"/>
              <w:left w:val="nil"/>
              <w:bottom w:val="nil"/>
              <w:right w:val="nil"/>
            </w:tcBorders>
          </w:tcPr>
          <w:p>
            <w:pPr/>
          </w:p>
        </w:tc>
      </w:tr>
      <w:tr>
        <w:trPr>
          <w:trHeight w:val="281" w:hRule="exact"/>
        </w:trPr>
        <w:tc>
          <w:tcPr>
            <w:tcW w:w="209" w:type="dxa"/>
            <w:vMerge w:val="restart"/>
            <w:tcBorders>
              <w:top w:val="nil"/>
              <w:left w:val="nil"/>
            </w:tcBorders>
          </w:tcPr>
          <w:p>
            <w:pPr/>
          </w:p>
        </w:tc>
        <w:tc>
          <w:tcPr>
            <w:tcW w:w="2701" w:type="dxa"/>
          </w:tcPr>
          <w:p>
            <w:pPr>
              <w:pStyle w:val="TableParagraph"/>
              <w:spacing w:before="37"/>
              <w:rPr>
                <w:sz w:val="20"/>
              </w:rPr>
            </w:pPr>
            <w:r>
              <w:rPr>
                <w:sz w:val="20"/>
              </w:rPr>
              <w:t>Flash Point</w:t>
            </w:r>
          </w:p>
        </w:tc>
        <w:tc>
          <w:tcPr>
            <w:tcW w:w="2612" w:type="dxa"/>
          </w:tcPr>
          <w:p>
            <w:pPr>
              <w:pStyle w:val="TableParagraph"/>
              <w:spacing w:before="37"/>
              <w:rPr>
                <w:sz w:val="20"/>
              </w:rPr>
            </w:pPr>
            <w:r>
              <w:rPr>
                <w:sz w:val="20"/>
              </w:rPr>
              <w:t>Not Applicable</w:t>
            </w:r>
          </w:p>
        </w:tc>
        <w:tc>
          <w:tcPr>
            <w:tcW w:w="4169" w:type="dxa"/>
            <w:vMerge w:val="restart"/>
            <w:tcBorders>
              <w:top w:val="nil"/>
              <w:right w:val="nil"/>
            </w:tcBorders>
          </w:tcPr>
          <w:p>
            <w:pPr/>
          </w:p>
        </w:tc>
      </w:tr>
      <w:tr>
        <w:trPr>
          <w:trHeight w:val="264" w:hRule="exact"/>
        </w:trPr>
        <w:tc>
          <w:tcPr>
            <w:tcW w:w="209" w:type="dxa"/>
            <w:vMerge/>
            <w:tcBorders>
              <w:left w:val="nil"/>
            </w:tcBorders>
          </w:tcPr>
          <w:p>
            <w:pPr/>
          </w:p>
        </w:tc>
        <w:tc>
          <w:tcPr>
            <w:tcW w:w="2701" w:type="dxa"/>
          </w:tcPr>
          <w:p>
            <w:pPr>
              <w:pStyle w:val="TableParagraph"/>
              <w:spacing w:before="19"/>
              <w:rPr>
                <w:sz w:val="20"/>
              </w:rPr>
            </w:pPr>
            <w:r>
              <w:rPr>
                <w:sz w:val="20"/>
              </w:rPr>
              <w:t>Auto Ignition Temperature:</w:t>
            </w:r>
          </w:p>
        </w:tc>
        <w:tc>
          <w:tcPr>
            <w:tcW w:w="2612" w:type="dxa"/>
          </w:tcPr>
          <w:p>
            <w:pPr>
              <w:pStyle w:val="TableParagraph"/>
              <w:spacing w:before="19"/>
              <w:rPr>
                <w:sz w:val="20"/>
              </w:rPr>
            </w:pPr>
            <w:r>
              <w:rPr>
                <w:sz w:val="20"/>
              </w:rPr>
              <w:t>Not Applicable</w:t>
            </w:r>
          </w:p>
        </w:tc>
        <w:tc>
          <w:tcPr>
            <w:tcW w:w="4169" w:type="dxa"/>
            <w:vMerge/>
            <w:tcBorders>
              <w:right w:val="nil"/>
            </w:tcBorders>
          </w:tcPr>
          <w:p>
            <w:pPr/>
          </w:p>
        </w:tc>
      </w:tr>
      <w:tr>
        <w:trPr>
          <w:trHeight w:val="266" w:hRule="exact"/>
        </w:trPr>
        <w:tc>
          <w:tcPr>
            <w:tcW w:w="209" w:type="dxa"/>
            <w:vMerge/>
            <w:tcBorders>
              <w:left w:val="nil"/>
            </w:tcBorders>
          </w:tcPr>
          <w:p>
            <w:pPr/>
          </w:p>
        </w:tc>
        <w:tc>
          <w:tcPr>
            <w:tcW w:w="2701" w:type="dxa"/>
          </w:tcPr>
          <w:p>
            <w:pPr>
              <w:pStyle w:val="TableParagraph"/>
              <w:spacing w:before="15"/>
              <w:rPr>
                <w:sz w:val="20"/>
              </w:rPr>
            </w:pPr>
            <w:r>
              <w:rPr>
                <w:sz w:val="20"/>
              </w:rPr>
              <w:t>Flammable Limits</w:t>
            </w:r>
          </w:p>
        </w:tc>
        <w:tc>
          <w:tcPr>
            <w:tcW w:w="2612" w:type="dxa"/>
          </w:tcPr>
          <w:p>
            <w:pPr>
              <w:pStyle w:val="TableParagraph"/>
              <w:spacing w:before="22"/>
              <w:rPr>
                <w:sz w:val="20"/>
              </w:rPr>
            </w:pPr>
            <w:r>
              <w:rPr>
                <w:sz w:val="20"/>
              </w:rPr>
              <w:t>Not Applicable</w:t>
            </w:r>
          </w:p>
        </w:tc>
        <w:tc>
          <w:tcPr>
            <w:tcW w:w="4169" w:type="dxa"/>
            <w:vMerge/>
            <w:tcBorders>
              <w:right w:val="nil"/>
            </w:tcBorders>
          </w:tcPr>
          <w:p>
            <w:pPr/>
          </w:p>
        </w:tc>
      </w:tr>
      <w:tr>
        <w:trPr>
          <w:trHeight w:val="264" w:hRule="exact"/>
        </w:trPr>
        <w:tc>
          <w:tcPr>
            <w:tcW w:w="209" w:type="dxa"/>
            <w:vMerge/>
            <w:tcBorders>
              <w:left w:val="nil"/>
            </w:tcBorders>
          </w:tcPr>
          <w:p>
            <w:pPr/>
          </w:p>
        </w:tc>
        <w:tc>
          <w:tcPr>
            <w:tcW w:w="2701" w:type="dxa"/>
          </w:tcPr>
          <w:p>
            <w:pPr>
              <w:pStyle w:val="TableParagraph"/>
              <w:spacing w:before="12"/>
              <w:rPr>
                <w:sz w:val="20"/>
              </w:rPr>
            </w:pPr>
            <w:r>
              <w:rPr>
                <w:sz w:val="20"/>
              </w:rPr>
              <w:t>Classification</w:t>
            </w:r>
          </w:p>
        </w:tc>
        <w:tc>
          <w:tcPr>
            <w:tcW w:w="2612" w:type="dxa"/>
          </w:tcPr>
          <w:p>
            <w:pPr>
              <w:pStyle w:val="TableParagraph"/>
              <w:spacing w:before="19"/>
              <w:rPr>
                <w:sz w:val="20"/>
              </w:rPr>
            </w:pPr>
            <w:r>
              <w:rPr>
                <w:sz w:val="20"/>
              </w:rPr>
              <w:t>Not Flammable</w:t>
            </w:r>
          </w:p>
        </w:tc>
        <w:tc>
          <w:tcPr>
            <w:tcW w:w="4169" w:type="dxa"/>
            <w:vMerge/>
            <w:tcBorders>
              <w:right w:val="nil"/>
            </w:tcBorders>
          </w:tcPr>
          <w:p>
            <w:pPr/>
          </w:p>
        </w:tc>
      </w:tr>
      <w:tr>
        <w:trPr>
          <w:trHeight w:val="269" w:hRule="exact"/>
        </w:trPr>
        <w:tc>
          <w:tcPr>
            <w:tcW w:w="209" w:type="dxa"/>
            <w:vMerge/>
            <w:tcBorders>
              <w:left w:val="nil"/>
              <w:bottom w:val="nil"/>
            </w:tcBorders>
          </w:tcPr>
          <w:p>
            <w:pPr/>
          </w:p>
        </w:tc>
        <w:tc>
          <w:tcPr>
            <w:tcW w:w="2701" w:type="dxa"/>
          </w:tcPr>
          <w:p>
            <w:pPr>
              <w:pStyle w:val="TableParagraph"/>
              <w:spacing w:before="15"/>
              <w:rPr>
                <w:sz w:val="20"/>
              </w:rPr>
            </w:pPr>
            <w:r>
              <w:rPr>
                <w:sz w:val="20"/>
              </w:rPr>
              <w:t>Extinguishing Media</w:t>
            </w:r>
          </w:p>
        </w:tc>
        <w:tc>
          <w:tcPr>
            <w:tcW w:w="2612" w:type="dxa"/>
          </w:tcPr>
          <w:p>
            <w:pPr>
              <w:pStyle w:val="TableParagraph"/>
              <w:spacing w:before="22"/>
              <w:rPr>
                <w:sz w:val="20"/>
              </w:rPr>
            </w:pPr>
            <w:r>
              <w:rPr>
                <w:sz w:val="20"/>
              </w:rPr>
              <w:t>Water</w:t>
            </w:r>
          </w:p>
        </w:tc>
        <w:tc>
          <w:tcPr>
            <w:tcW w:w="4169" w:type="dxa"/>
            <w:vMerge/>
            <w:tcBorders>
              <w:bottom w:val="nil"/>
              <w:right w:val="nil"/>
            </w:tcBorders>
          </w:tcPr>
          <w:p>
            <w:pPr/>
          </w:p>
        </w:tc>
      </w:tr>
    </w:tbl>
    <w:p>
      <w:pPr>
        <w:pStyle w:val="BodyText"/>
        <w:spacing w:before="8"/>
        <w:rPr>
          <w:sz w:val="14"/>
        </w:rPr>
      </w:pPr>
    </w:p>
    <w:p>
      <w:pPr>
        <w:pStyle w:val="BodyText"/>
        <w:spacing w:before="74"/>
        <w:ind w:left="140" w:right="414"/>
      </w:pPr>
      <w:r>
        <w:rPr/>
        <w:t>Special Fire Fighting Procedures:   NFPA Code: Health 1, Fire 0,  Reactivity 1, Special  OX</w:t>
      </w:r>
    </w:p>
    <w:p>
      <w:pPr>
        <w:pStyle w:val="BodyText"/>
        <w:spacing w:line="249" w:lineRule="auto" w:before="10"/>
        <w:ind w:left="1407" w:right="446" w:hanging="1268"/>
      </w:pPr>
      <w:r>
        <w:rPr/>
        <w:t>Use water spray to cool fire-exposed surfaces to prevent over-pressure of containers and to protect personnel. Use air-supplied breathing equipment for enclosed areas.</w:t>
      </w:r>
    </w:p>
    <w:p>
      <w:pPr>
        <w:pStyle w:val="BodyText"/>
        <w:spacing w:before="1"/>
        <w:ind w:left="140" w:right="180"/>
      </w:pPr>
      <w:r>
        <w:rPr/>
        <w:pict>
          <v:line style="position:absolute;mso-position-horizontal-relative:page;mso-position-vertical-relative:paragraph;z-index:1240;mso-wrap-distance-left:0;mso-wrap-distance-right:0" from="70.584pt,18.025917pt" to="555.094pt,18.025917pt" stroked="true" strokeweight=".48001pt" strokecolor="#000000">
            <w10:wrap type="topAndBottom"/>
          </v:line>
        </w:pict>
      </w:r>
      <w:r>
        <w:rPr/>
        <w:t>Product is non-combustible. On decomposition from excessive heat it will release oxygen which may intensify   fire.</w:t>
      </w:r>
    </w:p>
    <w:p>
      <w:pPr>
        <w:pStyle w:val="Heading1"/>
        <w:numPr>
          <w:ilvl w:val="0"/>
          <w:numId w:val="2"/>
        </w:numPr>
        <w:tabs>
          <w:tab w:pos="453" w:val="left" w:leader="none"/>
        </w:tabs>
        <w:spacing w:line="240" w:lineRule="auto" w:before="0" w:after="24"/>
        <w:ind w:left="452" w:right="0" w:hanging="312"/>
        <w:jc w:val="left"/>
      </w:pPr>
      <w:r>
        <w:rPr/>
        <w:t>Accidental Release</w:t>
      </w:r>
      <w:r>
        <w:rPr>
          <w:spacing w:val="6"/>
        </w:rPr>
        <w:t> </w:t>
      </w:r>
      <w:r>
        <w:rPr/>
        <w:t>Measures</w:t>
      </w:r>
    </w:p>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8001pt" strokecolor="#000000"/>
          </v:group>
        </w:pict>
      </w:r>
      <w:r>
        <w:rPr>
          <w:sz w:val="2"/>
        </w:rPr>
      </w:r>
    </w:p>
    <w:p>
      <w:pPr>
        <w:pStyle w:val="BodyText"/>
        <w:tabs>
          <w:tab w:pos="2840" w:val="left" w:leader="none"/>
        </w:tabs>
        <w:spacing w:line="276" w:lineRule="auto" w:before="105"/>
        <w:ind w:left="2841" w:right="180" w:hanging="2701"/>
      </w:pPr>
      <w:r>
        <w:rPr>
          <w:b/>
          <w:i/>
        </w:rPr>
        <w:t>Containment</w:t>
      </w:r>
      <w:r>
        <w:rPr>
          <w:b/>
          <w:i/>
          <w:spacing w:val="-3"/>
        </w:rPr>
        <w:t> </w:t>
      </w:r>
      <w:r>
        <w:rPr>
          <w:b/>
          <w:i/>
        </w:rPr>
        <w:t>Procedures</w:t>
        <w:tab/>
      </w:r>
      <w:r>
        <w:rPr/>
        <w:t>Stop flow of material if without risk.  Dike spill with inert material and</w:t>
      </w:r>
      <w:r>
        <w:rPr>
          <w:spacing w:val="-24"/>
        </w:rPr>
        <w:t> </w:t>
      </w:r>
      <w:r>
        <w:rPr/>
        <w:t>dilute</w:t>
      </w:r>
      <w:r>
        <w:rPr>
          <w:spacing w:val="-1"/>
        </w:rPr>
        <w:t> </w:t>
      </w:r>
      <w:r>
        <w:rPr/>
        <w:t>with</w:t>
      </w:r>
      <w:r>
        <w:rPr>
          <w:w w:val="99"/>
        </w:rPr>
        <w:t> </w:t>
      </w:r>
      <w:r>
        <w:rPr/>
        <w:t>water. Hold until Hydrogen Peroxide decomposes. Block any potential routes to</w:t>
      </w:r>
      <w:r>
        <w:rPr>
          <w:spacing w:val="-24"/>
        </w:rPr>
        <w:t> </w:t>
      </w:r>
      <w:r>
        <w:rPr/>
        <w:t>water systems, sewers, streams, lakes,</w:t>
      </w:r>
      <w:r>
        <w:rPr>
          <w:spacing w:val="-16"/>
        </w:rPr>
        <w:t> </w:t>
      </w:r>
      <w:r>
        <w:rPr/>
        <w:t>etc.</w:t>
      </w:r>
    </w:p>
    <w:p>
      <w:pPr>
        <w:pStyle w:val="BodyText"/>
        <w:tabs>
          <w:tab w:pos="2840" w:val="left" w:leader="none"/>
        </w:tabs>
        <w:spacing w:line="276" w:lineRule="auto" w:before="3"/>
        <w:ind w:left="2841" w:right="287" w:hanging="2701"/>
      </w:pPr>
      <w:r>
        <w:rPr>
          <w:b/>
          <w:i/>
        </w:rPr>
        <w:t>Clean-Up</w:t>
      </w:r>
      <w:r>
        <w:rPr>
          <w:b/>
          <w:i/>
          <w:spacing w:val="-2"/>
        </w:rPr>
        <w:t> </w:t>
      </w:r>
      <w:r>
        <w:rPr>
          <w:b/>
          <w:i/>
        </w:rPr>
        <w:t>Procedures</w:t>
        <w:tab/>
      </w:r>
      <w:r>
        <w:rPr/>
        <w:t>Wear appropriate protective equipment and clothing. Combustible</w:t>
      </w:r>
      <w:r>
        <w:rPr>
          <w:spacing w:val="-21"/>
        </w:rPr>
        <w:t> </w:t>
      </w:r>
      <w:r>
        <w:rPr/>
        <w:t>materials</w:t>
      </w:r>
      <w:r>
        <w:rPr>
          <w:spacing w:val="-5"/>
        </w:rPr>
        <w:t> </w:t>
      </w:r>
      <w:r>
        <w:rPr/>
        <w:t>exposed</w:t>
      </w:r>
      <w:r>
        <w:rPr>
          <w:w w:val="99"/>
        </w:rPr>
        <w:t> </w:t>
      </w:r>
      <w:r>
        <w:rPr/>
        <w:t>to EasyDecon Part 2 should be rinsed with water to remove Hydrogen</w:t>
      </w:r>
      <w:r>
        <w:rPr>
          <w:spacing w:val="-21"/>
        </w:rPr>
        <w:t> </w:t>
      </w:r>
      <w:r>
        <w:rPr/>
        <w:t>Peroxide.</w:t>
      </w:r>
    </w:p>
    <w:p>
      <w:pPr>
        <w:tabs>
          <w:tab w:pos="2840" w:val="left" w:leader="none"/>
        </w:tabs>
        <w:spacing w:before="0"/>
        <w:ind w:left="140" w:right="414" w:firstLine="0"/>
        <w:jc w:val="left"/>
        <w:rPr>
          <w:sz w:val="20"/>
        </w:rPr>
      </w:pPr>
      <w:r>
        <w:rPr>
          <w:b/>
          <w:i/>
          <w:sz w:val="20"/>
        </w:rPr>
        <w:t>Evacuation</w:t>
      </w:r>
      <w:r>
        <w:rPr>
          <w:b/>
          <w:i/>
          <w:spacing w:val="-3"/>
          <w:sz w:val="20"/>
        </w:rPr>
        <w:t> </w:t>
      </w:r>
      <w:r>
        <w:rPr>
          <w:b/>
          <w:i/>
          <w:sz w:val="20"/>
        </w:rPr>
        <w:t>Procedures</w:t>
        <w:tab/>
      </w:r>
      <w:r>
        <w:rPr>
          <w:sz w:val="20"/>
        </w:rPr>
        <w:t>Keep unnecessary personnel</w:t>
      </w:r>
      <w:r>
        <w:rPr>
          <w:spacing w:val="-11"/>
          <w:sz w:val="20"/>
        </w:rPr>
        <w:t> </w:t>
      </w:r>
      <w:r>
        <w:rPr>
          <w:sz w:val="20"/>
        </w:rPr>
        <w:t>away.</w:t>
      </w:r>
    </w:p>
    <w:p>
      <w:pPr>
        <w:pStyle w:val="BodyText"/>
      </w:pPr>
    </w:p>
    <w:p>
      <w:pPr>
        <w:pStyle w:val="BodyText"/>
        <w:spacing w:before="4"/>
        <w:rPr>
          <w:sz w:val="14"/>
        </w:rPr>
      </w:pPr>
      <w:r>
        <w:rPr/>
        <w:pict>
          <v:line style="position:absolute;mso-position-horizontal-relative:page;mso-position-vertical-relative:paragraph;z-index:1288;mso-wrap-distance-left:0;mso-wrap-distance-right:0" from="70.584pt,10.457901pt" to="555.094pt,10.457901pt" stroked="true" strokeweight=".47998pt" strokecolor="#000000">
            <w10:wrap type="topAndBottom"/>
          </v:line>
        </w:pict>
      </w:r>
    </w:p>
    <w:p>
      <w:pPr>
        <w:pStyle w:val="Heading1"/>
        <w:numPr>
          <w:ilvl w:val="0"/>
          <w:numId w:val="2"/>
        </w:numPr>
        <w:tabs>
          <w:tab w:pos="453" w:val="left" w:leader="none"/>
        </w:tabs>
        <w:spacing w:line="240" w:lineRule="auto" w:before="0" w:after="7"/>
        <w:ind w:left="452" w:right="0" w:hanging="312"/>
        <w:jc w:val="left"/>
      </w:pPr>
      <w:r>
        <w:rPr/>
        <w:t>Handling and</w:t>
      </w:r>
      <w:r>
        <w:rPr>
          <w:spacing w:val="10"/>
        </w:rPr>
        <w:t> </w:t>
      </w:r>
      <w:r>
        <w:rPr/>
        <w:t>Storage</w:t>
      </w:r>
    </w:p>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7998pt" strokecolor="#000000"/>
          </v:group>
        </w:pict>
      </w:r>
      <w:r>
        <w:rPr>
          <w:sz w:val="2"/>
        </w:rPr>
      </w:r>
    </w:p>
    <w:p>
      <w:pPr>
        <w:pStyle w:val="BodyText"/>
        <w:tabs>
          <w:tab w:pos="2480" w:val="left" w:leader="none"/>
        </w:tabs>
        <w:spacing w:line="276" w:lineRule="auto" w:before="105"/>
        <w:ind w:left="2480" w:right="460" w:hanging="2340"/>
      </w:pPr>
      <w:r>
        <w:rPr>
          <w:b/>
          <w:i/>
        </w:rPr>
        <w:t>Handling</w:t>
      </w:r>
      <w:r>
        <w:rPr>
          <w:b/>
          <w:i/>
          <w:spacing w:val="-2"/>
        </w:rPr>
        <w:t> </w:t>
      </w:r>
      <w:r>
        <w:rPr>
          <w:b/>
          <w:i/>
        </w:rPr>
        <w:t>Procedures</w:t>
        <w:tab/>
      </w:r>
      <w:r>
        <w:rPr/>
        <w:t>Avoid contact with skin and eyes.  Observe good industrial hygiene practices</w:t>
      </w:r>
      <w:r>
        <w:rPr>
          <w:spacing w:val="-28"/>
        </w:rPr>
        <w:t> </w:t>
      </w:r>
      <w:r>
        <w:rPr/>
        <w:t>and</w:t>
      </w:r>
      <w:r>
        <w:rPr>
          <w:spacing w:val="7"/>
        </w:rPr>
        <w:t> </w:t>
      </w:r>
      <w:r>
        <w:rPr/>
        <w:t>wash</w:t>
      </w:r>
      <w:r>
        <w:rPr>
          <w:w w:val="99"/>
        </w:rPr>
        <w:t> </w:t>
      </w:r>
      <w:r>
        <w:rPr/>
        <w:t>thoroughly after</w:t>
      </w:r>
      <w:r>
        <w:rPr>
          <w:spacing w:val="-11"/>
        </w:rPr>
        <w:t> </w:t>
      </w:r>
      <w:r>
        <w:rPr/>
        <w:t>handling.</w:t>
      </w:r>
    </w:p>
    <w:p>
      <w:pPr>
        <w:pStyle w:val="BodyText"/>
        <w:tabs>
          <w:tab w:pos="2480" w:val="left" w:leader="none"/>
        </w:tabs>
        <w:spacing w:line="276" w:lineRule="auto"/>
        <w:ind w:left="2480" w:right="339" w:hanging="2340"/>
      </w:pPr>
      <w:r>
        <w:rPr>
          <w:b/>
          <w:i/>
        </w:rPr>
        <w:t>Technical</w:t>
      </w:r>
      <w:r>
        <w:rPr>
          <w:b/>
          <w:i/>
          <w:spacing w:val="-3"/>
        </w:rPr>
        <w:t> </w:t>
      </w:r>
      <w:r>
        <w:rPr>
          <w:b/>
          <w:i/>
        </w:rPr>
        <w:t>Measures</w:t>
        <w:tab/>
      </w:r>
      <w:r>
        <w:rPr/>
        <w:t>Work practices should minimize contact. EasyDecon Part 2 should be stored</w:t>
      </w:r>
      <w:r>
        <w:rPr>
          <w:spacing w:val="-22"/>
        </w:rPr>
        <w:t> </w:t>
      </w:r>
      <w:r>
        <w:rPr/>
        <w:t>in</w:t>
      </w:r>
      <w:r>
        <w:rPr>
          <w:spacing w:val="-5"/>
        </w:rPr>
        <w:t> </w:t>
      </w:r>
      <w:r>
        <w:rPr/>
        <w:t>vented</w:t>
      </w:r>
      <w:r>
        <w:rPr>
          <w:w w:val="99"/>
        </w:rPr>
        <w:t> </w:t>
      </w:r>
      <w:r>
        <w:rPr/>
        <w:t>containers. Avoid excessive heat and contamination. Contamination may cause decomposition and generation of Oxygen gas that may overpressure container. Do not return unused EasyDecon Part 2 to original container. Utensils for handling EasyDecon Part 2 should only be made of glass, stainless steel, aluminum, or</w:t>
      </w:r>
      <w:r>
        <w:rPr>
          <w:spacing w:val="-23"/>
        </w:rPr>
        <w:t> </w:t>
      </w:r>
      <w:r>
        <w:rPr/>
        <w:t>plastic.</w:t>
      </w:r>
    </w:p>
    <w:p>
      <w:pPr>
        <w:tabs>
          <w:tab w:pos="2480" w:val="left" w:leader="none"/>
        </w:tabs>
        <w:spacing w:before="0"/>
        <w:ind w:left="140" w:right="414" w:firstLine="0"/>
        <w:jc w:val="left"/>
        <w:rPr>
          <w:sz w:val="20"/>
        </w:rPr>
      </w:pPr>
      <w:r>
        <w:rPr>
          <w:b/>
          <w:i/>
          <w:sz w:val="20"/>
        </w:rPr>
        <w:t>Technical</w:t>
      </w:r>
      <w:r>
        <w:rPr>
          <w:b/>
          <w:i/>
          <w:spacing w:val="-3"/>
          <w:sz w:val="20"/>
        </w:rPr>
        <w:t> </w:t>
      </w:r>
      <w:r>
        <w:rPr>
          <w:b/>
          <w:i/>
          <w:sz w:val="20"/>
        </w:rPr>
        <w:t>Precautions</w:t>
        <w:tab/>
      </w:r>
      <w:r>
        <w:rPr>
          <w:sz w:val="20"/>
        </w:rPr>
        <w:t>Local exhaust is normally not required unless the process produces a</w:t>
      </w:r>
      <w:r>
        <w:rPr>
          <w:spacing w:val="-26"/>
          <w:sz w:val="20"/>
        </w:rPr>
        <w:t> </w:t>
      </w:r>
      <w:r>
        <w:rPr>
          <w:sz w:val="20"/>
        </w:rPr>
        <w:t>mist.</w:t>
      </w:r>
    </w:p>
    <w:p>
      <w:pPr>
        <w:pStyle w:val="BodyText"/>
        <w:tabs>
          <w:tab w:pos="2480" w:val="left" w:leader="none"/>
        </w:tabs>
        <w:spacing w:line="288" w:lineRule="auto" w:before="34"/>
        <w:ind w:left="2480" w:right="418" w:hanging="2340"/>
      </w:pPr>
      <w:r>
        <w:rPr>
          <w:b/>
          <w:i/>
        </w:rPr>
        <w:t>Storage</w:t>
      </w:r>
      <w:r>
        <w:rPr>
          <w:b/>
          <w:i/>
          <w:spacing w:val="-2"/>
        </w:rPr>
        <w:t> </w:t>
      </w:r>
      <w:r>
        <w:rPr>
          <w:b/>
          <w:i/>
        </w:rPr>
        <w:t>Procedures</w:t>
        <w:tab/>
      </w:r>
      <w:r>
        <w:rPr/>
        <w:t>Store in closed vented original container, in well ventilated place, out of</w:t>
      </w:r>
      <w:r>
        <w:rPr>
          <w:spacing w:val="-24"/>
        </w:rPr>
        <w:t> </w:t>
      </w:r>
      <w:r>
        <w:rPr/>
        <w:t>direct</w:t>
      </w:r>
      <w:r>
        <w:rPr>
          <w:spacing w:val="-4"/>
        </w:rPr>
        <w:t> </w:t>
      </w:r>
      <w:r>
        <w:rPr/>
        <w:t>sunlight,</w:t>
      </w:r>
      <w:r>
        <w:rPr>
          <w:w w:val="99"/>
        </w:rPr>
        <w:t> </w:t>
      </w:r>
      <w:r>
        <w:rPr/>
        <w:t>away from combustibles.  Prevent from freezing. If frozen, move to </w:t>
      </w:r>
      <w:r>
        <w:rPr>
          <w:spacing w:val="2"/>
        </w:rPr>
        <w:t>warm</w:t>
      </w:r>
      <w:r>
        <w:rPr>
          <w:spacing w:val="49"/>
        </w:rPr>
        <w:t> </w:t>
      </w:r>
      <w:r>
        <w:rPr/>
        <w:t>area.</w:t>
      </w:r>
    </w:p>
    <w:p>
      <w:pPr>
        <w:pStyle w:val="BodyText"/>
      </w:pPr>
    </w:p>
    <w:p>
      <w:pPr>
        <w:pStyle w:val="BodyText"/>
        <w:spacing w:before="1"/>
        <w:rPr>
          <w:sz w:val="14"/>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6288"/>
      </w:tblGrid>
      <w:tr>
        <w:trPr>
          <w:trHeight w:val="314" w:hRule="exact"/>
        </w:trPr>
        <w:tc>
          <w:tcPr>
            <w:tcW w:w="3402" w:type="dxa"/>
            <w:tcBorders>
              <w:left w:val="nil"/>
              <w:right w:val="nil"/>
            </w:tcBorders>
          </w:tcPr>
          <w:p>
            <w:pPr>
              <w:pStyle w:val="TableParagraph"/>
              <w:spacing w:before="27"/>
              <w:ind w:left="28"/>
              <w:rPr>
                <w:b/>
                <w:sz w:val="22"/>
              </w:rPr>
            </w:pPr>
            <w:r>
              <w:rPr>
                <w:b/>
                <w:sz w:val="22"/>
              </w:rPr>
              <w:t>8.   Exposure Controls/ Personal Pr</w:t>
            </w:r>
          </w:p>
        </w:tc>
        <w:tc>
          <w:tcPr>
            <w:tcW w:w="6288" w:type="dxa"/>
            <w:tcBorders>
              <w:left w:val="nil"/>
              <w:right w:val="nil"/>
            </w:tcBorders>
          </w:tcPr>
          <w:p>
            <w:pPr>
              <w:pStyle w:val="TableParagraph"/>
              <w:spacing w:before="27"/>
              <w:ind w:left="-41"/>
              <w:rPr>
                <w:b/>
                <w:sz w:val="22"/>
              </w:rPr>
            </w:pPr>
            <w:r>
              <w:rPr>
                <w:b/>
                <w:sz w:val="22"/>
              </w:rPr>
              <w:t>otection</w:t>
            </w:r>
          </w:p>
        </w:tc>
      </w:tr>
      <w:tr>
        <w:trPr>
          <w:trHeight w:val="435" w:hRule="exact"/>
        </w:trPr>
        <w:tc>
          <w:tcPr>
            <w:tcW w:w="3402" w:type="dxa"/>
            <w:tcBorders>
              <w:left w:val="nil"/>
              <w:bottom w:val="nil"/>
              <w:right w:val="nil"/>
            </w:tcBorders>
          </w:tcPr>
          <w:p>
            <w:pPr>
              <w:pStyle w:val="TableParagraph"/>
              <w:spacing w:before="9"/>
              <w:ind w:left="0"/>
              <w:rPr>
                <w:sz w:val="17"/>
              </w:rPr>
            </w:pPr>
          </w:p>
          <w:p>
            <w:pPr>
              <w:pStyle w:val="TableParagraph"/>
              <w:ind w:left="136"/>
              <w:rPr>
                <w:b/>
                <w:i/>
                <w:sz w:val="20"/>
              </w:rPr>
            </w:pPr>
            <w:r>
              <w:rPr>
                <w:b/>
                <w:i/>
                <w:sz w:val="20"/>
              </w:rPr>
              <w:t>Ventilation Engineering Controls:</w:t>
            </w:r>
          </w:p>
        </w:tc>
        <w:tc>
          <w:tcPr>
            <w:tcW w:w="6288" w:type="dxa"/>
            <w:tcBorders>
              <w:left w:val="nil"/>
              <w:bottom w:val="nil"/>
              <w:right w:val="nil"/>
            </w:tcBorders>
          </w:tcPr>
          <w:p>
            <w:pPr>
              <w:pStyle w:val="TableParagraph"/>
              <w:spacing w:before="113"/>
              <w:ind w:left="424"/>
              <w:rPr>
                <w:sz w:val="20"/>
              </w:rPr>
            </w:pPr>
            <w:r>
              <w:rPr>
                <w:sz w:val="20"/>
              </w:rPr>
              <w:t>Ventilation should effectively remove and prevent any buildup of</w:t>
            </w:r>
          </w:p>
        </w:tc>
      </w:tr>
    </w:tbl>
    <w:p>
      <w:pPr>
        <w:spacing w:after="0"/>
        <w:rPr>
          <w:sz w:val="20"/>
        </w:rPr>
        <w:sectPr>
          <w:pgSz w:w="12240" w:h="15840"/>
          <w:pgMar w:header="757" w:footer="995" w:top="980" w:bottom="1180" w:left="1300" w:right="1020"/>
        </w:sectPr>
      </w:pPr>
    </w:p>
    <w:p>
      <w:pPr>
        <w:pStyle w:val="BodyText"/>
      </w:pPr>
    </w:p>
    <w:p>
      <w:pPr>
        <w:pStyle w:val="BodyText"/>
        <w:spacing w:before="5"/>
        <w:rPr>
          <w:sz w:val="19"/>
        </w:rPr>
      </w:pPr>
    </w:p>
    <w:p>
      <w:pPr>
        <w:pStyle w:val="BodyText"/>
        <w:spacing w:before="73"/>
        <w:ind w:left="3937" w:right="414"/>
      </w:pPr>
      <w:r>
        <w:rPr/>
        <w:t>any vapor or mist generated from the use of this product</w:t>
      </w:r>
    </w:p>
    <w:p>
      <w:pPr>
        <w:spacing w:before="89"/>
        <w:ind w:left="140" w:right="414" w:firstLine="0"/>
        <w:jc w:val="left"/>
        <w:rPr>
          <w:b/>
          <w:i/>
          <w:sz w:val="20"/>
        </w:rPr>
      </w:pPr>
      <w:r>
        <w:rPr>
          <w:b/>
          <w:i/>
          <w:sz w:val="20"/>
          <w:u w:val="single"/>
        </w:rPr>
        <w:t>Personal Protection Equipment (PPE)</w:t>
      </w:r>
    </w:p>
    <w:p>
      <w:pPr>
        <w:pStyle w:val="BodyText"/>
        <w:spacing w:before="9"/>
        <w:rPr>
          <w:b/>
          <w:i/>
          <w:sz w:val="22"/>
        </w:rPr>
      </w:pPr>
    </w:p>
    <w:tbl>
      <w:tblPr>
        <w:tblW w:w="0" w:type="auto"/>
        <w:jc w:val="left"/>
        <w:tblInd w:w="4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08"/>
        <w:gridCol w:w="6432"/>
      </w:tblGrid>
      <w:tr>
        <w:trPr>
          <w:trHeight w:val="904" w:hRule="exact"/>
        </w:trPr>
        <w:tc>
          <w:tcPr>
            <w:tcW w:w="2808" w:type="dxa"/>
          </w:tcPr>
          <w:p>
            <w:pPr>
              <w:pStyle w:val="TableParagraph"/>
              <w:spacing w:line="216" w:lineRule="exact"/>
              <w:ind w:left="200"/>
              <w:rPr>
                <w:b/>
                <w:i/>
                <w:sz w:val="20"/>
              </w:rPr>
            </w:pPr>
            <w:r>
              <w:rPr>
                <w:b/>
                <w:i/>
                <w:sz w:val="20"/>
              </w:rPr>
              <w:t>Respiratory Protection:</w:t>
            </w:r>
          </w:p>
        </w:tc>
        <w:tc>
          <w:tcPr>
            <w:tcW w:w="6432" w:type="dxa"/>
          </w:tcPr>
          <w:p>
            <w:pPr>
              <w:pStyle w:val="TableParagraph"/>
              <w:spacing w:line="204" w:lineRule="exact"/>
              <w:ind w:left="361" w:right="108"/>
              <w:rPr>
                <w:sz w:val="20"/>
              </w:rPr>
            </w:pPr>
            <w:r>
              <w:rPr>
                <w:sz w:val="20"/>
              </w:rPr>
              <w:t>If ventilation is not sufficient to effectively prevent buildup of aerosols</w:t>
            </w:r>
          </w:p>
          <w:p>
            <w:pPr>
              <w:pStyle w:val="TableParagraph"/>
              <w:ind w:left="361" w:right="557"/>
              <w:rPr>
                <w:sz w:val="20"/>
              </w:rPr>
            </w:pPr>
            <w:r>
              <w:rPr>
                <w:sz w:val="20"/>
              </w:rPr>
              <w:t>or vapors, appropriate NIOSH/MSHA rated self-contained breathing apparatus should be used. Do not use a mask containing oxidizable elements.</w:t>
            </w:r>
          </w:p>
        </w:tc>
      </w:tr>
      <w:tr>
        <w:trPr>
          <w:trHeight w:val="461" w:hRule="exact"/>
        </w:trPr>
        <w:tc>
          <w:tcPr>
            <w:tcW w:w="2808" w:type="dxa"/>
          </w:tcPr>
          <w:p>
            <w:pPr>
              <w:pStyle w:val="TableParagraph"/>
              <w:spacing w:before="80"/>
              <w:ind w:left="200"/>
              <w:rPr>
                <w:b/>
                <w:i/>
                <w:sz w:val="20"/>
              </w:rPr>
            </w:pPr>
            <w:r>
              <w:rPr>
                <w:b/>
                <w:i/>
                <w:sz w:val="20"/>
              </w:rPr>
              <w:t>Skin Protection:</w:t>
            </w:r>
          </w:p>
        </w:tc>
        <w:tc>
          <w:tcPr>
            <w:tcW w:w="6432" w:type="dxa"/>
          </w:tcPr>
          <w:p>
            <w:pPr>
              <w:pStyle w:val="TableParagraph"/>
              <w:ind w:left="361" w:right="402"/>
              <w:rPr>
                <w:sz w:val="20"/>
              </w:rPr>
            </w:pPr>
            <w:r>
              <w:rPr>
                <w:sz w:val="20"/>
              </w:rPr>
              <w:t>Use Impervious gloves. Use of impervious apron and boots (neoprene, nirile, pvc) are recommended.</w:t>
            </w:r>
          </w:p>
        </w:tc>
      </w:tr>
      <w:tr>
        <w:trPr>
          <w:trHeight w:val="326" w:hRule="exact"/>
        </w:trPr>
        <w:tc>
          <w:tcPr>
            <w:tcW w:w="2808" w:type="dxa"/>
          </w:tcPr>
          <w:p>
            <w:pPr>
              <w:pStyle w:val="TableParagraph"/>
              <w:spacing w:before="80"/>
              <w:ind w:left="200"/>
              <w:rPr>
                <w:b/>
                <w:i/>
                <w:sz w:val="20"/>
              </w:rPr>
            </w:pPr>
            <w:r>
              <w:rPr>
                <w:b/>
                <w:i/>
                <w:sz w:val="20"/>
              </w:rPr>
              <w:t>Eye/Face Protection:</w:t>
            </w:r>
          </w:p>
        </w:tc>
        <w:tc>
          <w:tcPr>
            <w:tcW w:w="6432" w:type="dxa"/>
          </w:tcPr>
          <w:p>
            <w:pPr>
              <w:pStyle w:val="TableParagraph"/>
              <w:spacing w:line="219" w:lineRule="exact"/>
              <w:ind w:left="361" w:right="108"/>
              <w:rPr>
                <w:sz w:val="20"/>
              </w:rPr>
            </w:pPr>
            <w:r>
              <w:rPr>
                <w:sz w:val="20"/>
              </w:rPr>
              <w:t>Wear safety glasses, chemical goggles or a full face shield.</w:t>
            </w:r>
          </w:p>
        </w:tc>
      </w:tr>
      <w:tr>
        <w:trPr>
          <w:trHeight w:val="862" w:hRule="exact"/>
        </w:trPr>
        <w:tc>
          <w:tcPr>
            <w:tcW w:w="2808" w:type="dxa"/>
          </w:tcPr>
          <w:p>
            <w:pPr>
              <w:pStyle w:val="TableParagraph"/>
              <w:spacing w:line="252" w:lineRule="auto" w:before="73"/>
              <w:ind w:left="200"/>
              <w:rPr>
                <w:b/>
                <w:i/>
                <w:sz w:val="20"/>
              </w:rPr>
            </w:pPr>
            <w:r>
              <w:rPr>
                <w:b/>
                <w:i/>
                <w:sz w:val="20"/>
              </w:rPr>
              <w:t>Other Protective Clothing / </w:t>
            </w:r>
            <w:r>
              <w:rPr>
                <w:b/>
                <w:i/>
                <w:sz w:val="20"/>
              </w:rPr>
              <w:t>Equipment:</w:t>
            </w:r>
          </w:p>
        </w:tc>
        <w:tc>
          <w:tcPr>
            <w:tcW w:w="6432" w:type="dxa"/>
          </w:tcPr>
          <w:p>
            <w:pPr>
              <w:pStyle w:val="TableParagraph"/>
              <w:spacing w:line="249" w:lineRule="auto"/>
              <w:ind w:left="361" w:right="108"/>
              <w:rPr>
                <w:sz w:val="20"/>
              </w:rPr>
            </w:pPr>
            <w:r>
              <w:rPr>
                <w:sz w:val="20"/>
              </w:rPr>
              <w:t>Avoid exposure of cotton and leather clothing and footwear to this product.   If exposed rinse well before allowing to dry.</w:t>
            </w:r>
          </w:p>
        </w:tc>
      </w:tr>
    </w:tbl>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8pt" strokecolor="#000000"/>
          </v:group>
        </w:pict>
      </w:r>
      <w:r>
        <w:rPr>
          <w:sz w:val="2"/>
        </w:rPr>
      </w:r>
    </w:p>
    <w:p>
      <w:pPr>
        <w:pStyle w:val="Heading1"/>
        <w:numPr>
          <w:ilvl w:val="0"/>
          <w:numId w:val="3"/>
        </w:numPr>
        <w:tabs>
          <w:tab w:pos="453" w:val="left" w:leader="none"/>
        </w:tabs>
        <w:spacing w:line="240" w:lineRule="auto" w:before="12" w:after="25"/>
        <w:ind w:left="452" w:right="0" w:hanging="312"/>
        <w:jc w:val="left"/>
      </w:pPr>
      <w:r>
        <w:rPr/>
        <w:t>Physical and Chemical</w:t>
      </w:r>
      <w:r>
        <w:rPr>
          <w:spacing w:val="11"/>
        </w:rPr>
        <w:t> </w:t>
      </w:r>
      <w:r>
        <w:rPr/>
        <w:t>Properties</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29"/>
        <w:gridCol w:w="6061"/>
      </w:tblGrid>
      <w:tr>
        <w:trPr>
          <w:trHeight w:val="376" w:hRule="exact"/>
        </w:trPr>
        <w:tc>
          <w:tcPr>
            <w:tcW w:w="3629" w:type="dxa"/>
            <w:tcBorders>
              <w:left w:val="nil"/>
              <w:bottom w:val="nil"/>
            </w:tcBorders>
          </w:tcPr>
          <w:p>
            <w:pPr>
              <w:pStyle w:val="TableParagraph"/>
              <w:spacing w:before="125"/>
              <w:ind w:left="208"/>
              <w:rPr>
                <w:sz w:val="20"/>
              </w:rPr>
            </w:pPr>
            <w:r>
              <w:rPr>
                <w:sz w:val="20"/>
              </w:rPr>
              <w:t>Physical State</w:t>
            </w:r>
          </w:p>
        </w:tc>
        <w:tc>
          <w:tcPr>
            <w:tcW w:w="6061" w:type="dxa"/>
            <w:tcBorders>
              <w:bottom w:val="nil"/>
              <w:right w:val="nil"/>
            </w:tcBorders>
          </w:tcPr>
          <w:p>
            <w:pPr>
              <w:pStyle w:val="TableParagraph"/>
              <w:spacing w:before="125"/>
              <w:rPr>
                <w:sz w:val="20"/>
              </w:rPr>
            </w:pPr>
            <w:r>
              <w:rPr>
                <w:sz w:val="20"/>
              </w:rPr>
              <w:t>Liquid</w:t>
            </w:r>
          </w:p>
        </w:tc>
      </w:tr>
      <w:tr>
        <w:trPr>
          <w:trHeight w:val="232" w:hRule="exact"/>
        </w:trPr>
        <w:tc>
          <w:tcPr>
            <w:tcW w:w="3629" w:type="dxa"/>
            <w:tcBorders>
              <w:top w:val="nil"/>
              <w:left w:val="nil"/>
              <w:bottom w:val="nil"/>
            </w:tcBorders>
          </w:tcPr>
          <w:p>
            <w:pPr>
              <w:pStyle w:val="TableParagraph"/>
              <w:spacing w:line="224" w:lineRule="exact"/>
              <w:ind w:left="208"/>
              <w:rPr>
                <w:sz w:val="20"/>
              </w:rPr>
            </w:pPr>
            <w:r>
              <w:rPr>
                <w:sz w:val="20"/>
              </w:rPr>
              <w:t>Appearance and Color</w:t>
            </w:r>
          </w:p>
        </w:tc>
        <w:tc>
          <w:tcPr>
            <w:tcW w:w="6061" w:type="dxa"/>
            <w:tcBorders>
              <w:top w:val="nil"/>
              <w:bottom w:val="nil"/>
              <w:right w:val="nil"/>
            </w:tcBorders>
          </w:tcPr>
          <w:p>
            <w:pPr>
              <w:pStyle w:val="TableParagraph"/>
              <w:spacing w:line="224" w:lineRule="exact"/>
              <w:rPr>
                <w:sz w:val="20"/>
              </w:rPr>
            </w:pPr>
            <w:r>
              <w:rPr>
                <w:sz w:val="20"/>
              </w:rPr>
              <w:t>water white liquid</w:t>
            </w:r>
          </w:p>
        </w:tc>
      </w:tr>
      <w:tr>
        <w:trPr>
          <w:trHeight w:val="248" w:hRule="exact"/>
        </w:trPr>
        <w:tc>
          <w:tcPr>
            <w:tcW w:w="3629" w:type="dxa"/>
            <w:tcBorders>
              <w:top w:val="nil"/>
              <w:left w:val="nil"/>
              <w:bottom w:val="nil"/>
            </w:tcBorders>
          </w:tcPr>
          <w:p>
            <w:pPr>
              <w:pStyle w:val="TableParagraph"/>
              <w:spacing w:before="1"/>
              <w:ind w:left="208"/>
              <w:rPr>
                <w:sz w:val="20"/>
              </w:rPr>
            </w:pPr>
            <w:r>
              <w:rPr>
                <w:sz w:val="20"/>
              </w:rPr>
              <w:t>Boiling Point</w:t>
            </w:r>
          </w:p>
        </w:tc>
        <w:tc>
          <w:tcPr>
            <w:tcW w:w="6061" w:type="dxa"/>
            <w:tcBorders>
              <w:top w:val="nil"/>
              <w:bottom w:val="nil"/>
              <w:right w:val="nil"/>
            </w:tcBorders>
          </w:tcPr>
          <w:p>
            <w:pPr>
              <w:pStyle w:val="TableParagraph"/>
              <w:spacing w:line="232" w:lineRule="exact"/>
              <w:rPr>
                <w:sz w:val="20"/>
              </w:rPr>
            </w:pPr>
            <w:r>
              <w:rPr>
                <w:sz w:val="20"/>
              </w:rPr>
              <w:t>216</w:t>
            </w:r>
            <w:r>
              <w:rPr>
                <w:position w:val="8"/>
                <w:sz w:val="12"/>
              </w:rPr>
              <w:t>O  </w:t>
            </w:r>
            <w:r>
              <w:rPr>
                <w:sz w:val="20"/>
              </w:rPr>
              <w:t>F, 102</w:t>
            </w:r>
            <w:r>
              <w:rPr>
                <w:position w:val="8"/>
                <w:sz w:val="12"/>
              </w:rPr>
              <w:t>O</w:t>
            </w:r>
            <w:r>
              <w:rPr>
                <w:sz w:val="20"/>
              </w:rPr>
              <w:t>C</w:t>
            </w:r>
          </w:p>
        </w:tc>
      </w:tr>
      <w:tr>
        <w:trPr>
          <w:trHeight w:val="232" w:hRule="exact"/>
        </w:trPr>
        <w:tc>
          <w:tcPr>
            <w:tcW w:w="3629" w:type="dxa"/>
            <w:tcBorders>
              <w:top w:val="nil"/>
              <w:left w:val="nil"/>
              <w:bottom w:val="nil"/>
            </w:tcBorders>
          </w:tcPr>
          <w:p>
            <w:pPr>
              <w:pStyle w:val="TableParagraph"/>
              <w:spacing w:line="224" w:lineRule="exact"/>
              <w:ind w:left="208"/>
              <w:rPr>
                <w:sz w:val="20"/>
              </w:rPr>
            </w:pPr>
            <w:r>
              <w:rPr>
                <w:sz w:val="20"/>
              </w:rPr>
              <w:t>Odor</w:t>
            </w:r>
          </w:p>
        </w:tc>
        <w:tc>
          <w:tcPr>
            <w:tcW w:w="6061" w:type="dxa"/>
            <w:tcBorders>
              <w:top w:val="nil"/>
              <w:bottom w:val="nil"/>
              <w:right w:val="nil"/>
            </w:tcBorders>
          </w:tcPr>
          <w:p>
            <w:pPr>
              <w:pStyle w:val="TableParagraph"/>
              <w:spacing w:line="224" w:lineRule="exact"/>
              <w:rPr>
                <w:sz w:val="20"/>
              </w:rPr>
            </w:pPr>
            <w:r>
              <w:rPr>
                <w:sz w:val="20"/>
              </w:rPr>
              <w:t>odorless</w:t>
            </w:r>
          </w:p>
        </w:tc>
      </w:tr>
      <w:tr>
        <w:trPr>
          <w:trHeight w:val="248" w:hRule="exact"/>
        </w:trPr>
        <w:tc>
          <w:tcPr>
            <w:tcW w:w="3629" w:type="dxa"/>
            <w:tcBorders>
              <w:top w:val="nil"/>
              <w:left w:val="nil"/>
              <w:bottom w:val="nil"/>
            </w:tcBorders>
          </w:tcPr>
          <w:p>
            <w:pPr>
              <w:pStyle w:val="TableParagraph"/>
              <w:spacing w:line="232" w:lineRule="exact"/>
              <w:ind w:left="208"/>
              <w:rPr>
                <w:sz w:val="20"/>
              </w:rPr>
            </w:pPr>
            <w:r>
              <w:rPr>
                <w:sz w:val="20"/>
              </w:rPr>
              <w:t>Vapor Pressure @30</w:t>
            </w:r>
            <w:r>
              <w:rPr>
                <w:position w:val="8"/>
                <w:sz w:val="12"/>
              </w:rPr>
              <w:t>O</w:t>
            </w:r>
            <w:r>
              <w:rPr>
                <w:sz w:val="20"/>
              </w:rPr>
              <w:t>C (mmHg)</w:t>
            </w:r>
          </w:p>
        </w:tc>
        <w:tc>
          <w:tcPr>
            <w:tcW w:w="6061" w:type="dxa"/>
            <w:tcBorders>
              <w:top w:val="nil"/>
              <w:bottom w:val="nil"/>
              <w:right w:val="nil"/>
            </w:tcBorders>
          </w:tcPr>
          <w:p>
            <w:pPr>
              <w:pStyle w:val="TableParagraph"/>
              <w:spacing w:before="1"/>
              <w:rPr>
                <w:sz w:val="20"/>
              </w:rPr>
            </w:pPr>
            <w:r>
              <w:rPr>
                <w:sz w:val="20"/>
              </w:rPr>
              <w:t>31</w:t>
            </w:r>
          </w:p>
        </w:tc>
      </w:tr>
      <w:tr>
        <w:trPr>
          <w:trHeight w:val="240" w:hRule="exact"/>
        </w:trPr>
        <w:tc>
          <w:tcPr>
            <w:tcW w:w="3629" w:type="dxa"/>
            <w:tcBorders>
              <w:top w:val="nil"/>
              <w:left w:val="nil"/>
              <w:bottom w:val="nil"/>
            </w:tcBorders>
          </w:tcPr>
          <w:p>
            <w:pPr>
              <w:pStyle w:val="TableParagraph"/>
              <w:spacing w:line="224" w:lineRule="exact"/>
              <w:ind w:left="208"/>
              <w:rPr>
                <w:sz w:val="20"/>
              </w:rPr>
            </w:pPr>
            <w:r>
              <w:rPr>
                <w:sz w:val="20"/>
              </w:rPr>
              <w:t>Vapor Density (air= 1) less  than</w:t>
            </w:r>
          </w:p>
        </w:tc>
        <w:tc>
          <w:tcPr>
            <w:tcW w:w="6061" w:type="dxa"/>
            <w:tcBorders>
              <w:top w:val="nil"/>
              <w:bottom w:val="nil"/>
              <w:right w:val="nil"/>
            </w:tcBorders>
          </w:tcPr>
          <w:p>
            <w:pPr>
              <w:pStyle w:val="TableParagraph"/>
              <w:spacing w:line="224" w:lineRule="exact"/>
              <w:rPr>
                <w:sz w:val="20"/>
              </w:rPr>
            </w:pPr>
            <w:r>
              <w:rPr>
                <w:sz w:val="20"/>
              </w:rPr>
              <w:t>equivalent to water</w:t>
            </w:r>
          </w:p>
        </w:tc>
      </w:tr>
      <w:tr>
        <w:trPr>
          <w:trHeight w:val="240" w:hRule="exact"/>
        </w:trPr>
        <w:tc>
          <w:tcPr>
            <w:tcW w:w="3629" w:type="dxa"/>
            <w:tcBorders>
              <w:top w:val="nil"/>
              <w:left w:val="nil"/>
              <w:bottom w:val="nil"/>
            </w:tcBorders>
          </w:tcPr>
          <w:p>
            <w:pPr>
              <w:pStyle w:val="TableParagraph"/>
              <w:spacing w:line="224" w:lineRule="exact"/>
              <w:ind w:left="208"/>
              <w:rPr>
                <w:sz w:val="20"/>
              </w:rPr>
            </w:pPr>
            <w:r>
              <w:rPr>
                <w:sz w:val="20"/>
              </w:rPr>
              <w:t>Solubility in Water</w:t>
            </w:r>
          </w:p>
        </w:tc>
        <w:tc>
          <w:tcPr>
            <w:tcW w:w="6061" w:type="dxa"/>
            <w:tcBorders>
              <w:top w:val="nil"/>
              <w:bottom w:val="nil"/>
              <w:right w:val="nil"/>
            </w:tcBorders>
          </w:tcPr>
          <w:p>
            <w:pPr>
              <w:pStyle w:val="TableParagraph"/>
              <w:spacing w:line="224" w:lineRule="exact"/>
              <w:rPr>
                <w:sz w:val="20"/>
              </w:rPr>
            </w:pPr>
            <w:r>
              <w:rPr>
                <w:sz w:val="20"/>
              </w:rPr>
              <w:t>Complete</w:t>
            </w:r>
          </w:p>
        </w:tc>
      </w:tr>
      <w:tr>
        <w:trPr>
          <w:trHeight w:val="241" w:hRule="exact"/>
        </w:trPr>
        <w:tc>
          <w:tcPr>
            <w:tcW w:w="3629" w:type="dxa"/>
            <w:tcBorders>
              <w:top w:val="nil"/>
              <w:left w:val="nil"/>
              <w:bottom w:val="nil"/>
            </w:tcBorders>
          </w:tcPr>
          <w:p>
            <w:pPr>
              <w:pStyle w:val="TableParagraph"/>
              <w:spacing w:line="224" w:lineRule="exact"/>
              <w:ind w:left="208"/>
              <w:rPr>
                <w:sz w:val="20"/>
              </w:rPr>
            </w:pPr>
            <w:r>
              <w:rPr>
                <w:sz w:val="20"/>
              </w:rPr>
              <w:t>Specific Gravity (H</w:t>
            </w:r>
            <w:r>
              <w:rPr>
                <w:sz w:val="12"/>
              </w:rPr>
              <w:t>2</w:t>
            </w:r>
            <w:r>
              <w:rPr>
                <w:sz w:val="20"/>
              </w:rPr>
              <w:t>O= 1)</w:t>
            </w:r>
          </w:p>
        </w:tc>
        <w:tc>
          <w:tcPr>
            <w:tcW w:w="6061" w:type="dxa"/>
            <w:tcBorders>
              <w:top w:val="nil"/>
              <w:bottom w:val="nil"/>
              <w:right w:val="nil"/>
            </w:tcBorders>
          </w:tcPr>
          <w:p>
            <w:pPr>
              <w:pStyle w:val="TableParagraph"/>
              <w:spacing w:line="224" w:lineRule="exact"/>
              <w:rPr>
                <w:sz w:val="20"/>
              </w:rPr>
            </w:pPr>
            <w:r>
              <w:rPr>
                <w:sz w:val="20"/>
              </w:rPr>
              <w:t>1. 06</w:t>
            </w:r>
          </w:p>
        </w:tc>
      </w:tr>
      <w:tr>
        <w:trPr>
          <w:trHeight w:val="241" w:hRule="exact"/>
        </w:trPr>
        <w:tc>
          <w:tcPr>
            <w:tcW w:w="3629" w:type="dxa"/>
            <w:tcBorders>
              <w:top w:val="nil"/>
              <w:left w:val="nil"/>
              <w:bottom w:val="nil"/>
            </w:tcBorders>
          </w:tcPr>
          <w:p>
            <w:pPr>
              <w:pStyle w:val="TableParagraph"/>
              <w:spacing w:line="225" w:lineRule="exact"/>
              <w:ind w:left="208"/>
              <w:rPr>
                <w:sz w:val="20"/>
              </w:rPr>
            </w:pPr>
            <w:r>
              <w:rPr>
                <w:sz w:val="20"/>
              </w:rPr>
              <w:t>Burning Properties</w:t>
            </w:r>
          </w:p>
        </w:tc>
        <w:tc>
          <w:tcPr>
            <w:tcW w:w="6061" w:type="dxa"/>
            <w:tcBorders>
              <w:top w:val="nil"/>
              <w:bottom w:val="nil"/>
              <w:right w:val="nil"/>
            </w:tcBorders>
          </w:tcPr>
          <w:p>
            <w:pPr>
              <w:pStyle w:val="TableParagraph"/>
              <w:spacing w:line="225" w:lineRule="exact"/>
              <w:rPr>
                <w:sz w:val="20"/>
              </w:rPr>
            </w:pPr>
            <w:r>
              <w:rPr>
                <w:sz w:val="20"/>
              </w:rPr>
              <w:t>Not applicable</w:t>
            </w:r>
          </w:p>
        </w:tc>
      </w:tr>
      <w:tr>
        <w:trPr>
          <w:trHeight w:val="240" w:hRule="exact"/>
        </w:trPr>
        <w:tc>
          <w:tcPr>
            <w:tcW w:w="3629" w:type="dxa"/>
            <w:tcBorders>
              <w:top w:val="nil"/>
              <w:left w:val="nil"/>
              <w:bottom w:val="nil"/>
            </w:tcBorders>
          </w:tcPr>
          <w:p>
            <w:pPr>
              <w:pStyle w:val="TableParagraph"/>
              <w:spacing w:line="224" w:lineRule="exact"/>
              <w:ind w:left="208"/>
              <w:rPr>
                <w:sz w:val="20"/>
              </w:rPr>
            </w:pPr>
            <w:r>
              <w:rPr>
                <w:sz w:val="20"/>
              </w:rPr>
              <w:t>Flammability</w:t>
            </w:r>
          </w:p>
        </w:tc>
        <w:tc>
          <w:tcPr>
            <w:tcW w:w="6061" w:type="dxa"/>
            <w:tcBorders>
              <w:top w:val="nil"/>
              <w:bottom w:val="nil"/>
              <w:right w:val="nil"/>
            </w:tcBorders>
          </w:tcPr>
          <w:p>
            <w:pPr>
              <w:pStyle w:val="TableParagraph"/>
              <w:spacing w:line="224" w:lineRule="exact"/>
              <w:rPr>
                <w:sz w:val="20"/>
              </w:rPr>
            </w:pPr>
            <w:r>
              <w:rPr>
                <w:sz w:val="20"/>
              </w:rPr>
              <w:t>Not Flammable</w:t>
            </w:r>
          </w:p>
        </w:tc>
      </w:tr>
      <w:tr>
        <w:trPr>
          <w:trHeight w:val="240" w:hRule="exact"/>
        </w:trPr>
        <w:tc>
          <w:tcPr>
            <w:tcW w:w="3629" w:type="dxa"/>
            <w:tcBorders>
              <w:top w:val="nil"/>
              <w:left w:val="nil"/>
              <w:bottom w:val="nil"/>
            </w:tcBorders>
          </w:tcPr>
          <w:p>
            <w:pPr>
              <w:pStyle w:val="TableParagraph"/>
              <w:spacing w:line="224" w:lineRule="exact"/>
              <w:ind w:left="208"/>
              <w:rPr>
                <w:sz w:val="20"/>
              </w:rPr>
            </w:pPr>
            <w:r>
              <w:rPr>
                <w:sz w:val="20"/>
              </w:rPr>
              <w:t>Explosive Properties</w:t>
            </w:r>
          </w:p>
        </w:tc>
        <w:tc>
          <w:tcPr>
            <w:tcW w:w="6061" w:type="dxa"/>
            <w:tcBorders>
              <w:top w:val="nil"/>
              <w:bottom w:val="nil"/>
              <w:right w:val="nil"/>
            </w:tcBorders>
          </w:tcPr>
          <w:p>
            <w:pPr>
              <w:pStyle w:val="TableParagraph"/>
              <w:spacing w:line="224" w:lineRule="exact"/>
              <w:rPr>
                <w:sz w:val="20"/>
              </w:rPr>
            </w:pPr>
            <w:r>
              <w:rPr>
                <w:sz w:val="20"/>
              </w:rPr>
              <w:t>Not Explosive</w:t>
            </w:r>
          </w:p>
        </w:tc>
      </w:tr>
      <w:tr>
        <w:trPr>
          <w:trHeight w:val="240" w:hRule="exact"/>
        </w:trPr>
        <w:tc>
          <w:tcPr>
            <w:tcW w:w="3629" w:type="dxa"/>
            <w:tcBorders>
              <w:top w:val="nil"/>
              <w:left w:val="nil"/>
              <w:bottom w:val="nil"/>
            </w:tcBorders>
          </w:tcPr>
          <w:p>
            <w:pPr>
              <w:pStyle w:val="TableParagraph"/>
              <w:spacing w:line="224" w:lineRule="exact"/>
              <w:ind w:left="208"/>
              <w:rPr>
                <w:sz w:val="20"/>
              </w:rPr>
            </w:pPr>
            <w:r>
              <w:rPr>
                <w:sz w:val="20"/>
              </w:rPr>
              <w:t>Flashpoint</w:t>
            </w:r>
          </w:p>
        </w:tc>
        <w:tc>
          <w:tcPr>
            <w:tcW w:w="6061" w:type="dxa"/>
            <w:tcBorders>
              <w:top w:val="nil"/>
              <w:bottom w:val="nil"/>
              <w:right w:val="nil"/>
            </w:tcBorders>
          </w:tcPr>
          <w:p>
            <w:pPr>
              <w:pStyle w:val="TableParagraph"/>
              <w:spacing w:line="224" w:lineRule="exact"/>
              <w:rPr>
                <w:sz w:val="20"/>
              </w:rPr>
            </w:pPr>
            <w:r>
              <w:rPr>
                <w:sz w:val="20"/>
              </w:rPr>
              <w:t>Not applicable</w:t>
            </w:r>
          </w:p>
        </w:tc>
      </w:tr>
      <w:tr>
        <w:trPr>
          <w:trHeight w:val="240" w:hRule="exact"/>
        </w:trPr>
        <w:tc>
          <w:tcPr>
            <w:tcW w:w="3629" w:type="dxa"/>
            <w:tcBorders>
              <w:top w:val="nil"/>
              <w:left w:val="nil"/>
              <w:bottom w:val="nil"/>
            </w:tcBorders>
          </w:tcPr>
          <w:p>
            <w:pPr>
              <w:pStyle w:val="TableParagraph"/>
              <w:spacing w:line="224" w:lineRule="exact"/>
              <w:ind w:left="208"/>
              <w:rPr>
                <w:sz w:val="20"/>
              </w:rPr>
            </w:pPr>
            <w:r>
              <w:rPr>
                <w:sz w:val="20"/>
              </w:rPr>
              <w:t>Auto-ignition temperature</w:t>
            </w:r>
          </w:p>
        </w:tc>
        <w:tc>
          <w:tcPr>
            <w:tcW w:w="6061" w:type="dxa"/>
            <w:tcBorders>
              <w:top w:val="nil"/>
              <w:bottom w:val="nil"/>
              <w:right w:val="nil"/>
            </w:tcBorders>
          </w:tcPr>
          <w:p>
            <w:pPr>
              <w:pStyle w:val="TableParagraph"/>
              <w:spacing w:line="224" w:lineRule="exact"/>
              <w:rPr>
                <w:sz w:val="20"/>
              </w:rPr>
            </w:pPr>
            <w:r>
              <w:rPr>
                <w:sz w:val="20"/>
              </w:rPr>
              <w:t>Not applicable</w:t>
            </w:r>
          </w:p>
        </w:tc>
      </w:tr>
      <w:tr>
        <w:trPr>
          <w:trHeight w:val="240" w:hRule="exact"/>
        </w:trPr>
        <w:tc>
          <w:tcPr>
            <w:tcW w:w="3629" w:type="dxa"/>
            <w:tcBorders>
              <w:top w:val="nil"/>
              <w:left w:val="nil"/>
              <w:bottom w:val="nil"/>
            </w:tcBorders>
          </w:tcPr>
          <w:p>
            <w:pPr>
              <w:pStyle w:val="TableParagraph"/>
              <w:spacing w:line="224" w:lineRule="exact"/>
              <w:ind w:left="208"/>
              <w:rPr>
                <w:sz w:val="20"/>
              </w:rPr>
            </w:pPr>
            <w:r>
              <w:rPr>
                <w:sz w:val="20"/>
              </w:rPr>
              <w:t>pH of Product</w:t>
            </w:r>
          </w:p>
        </w:tc>
        <w:tc>
          <w:tcPr>
            <w:tcW w:w="6061" w:type="dxa"/>
            <w:tcBorders>
              <w:top w:val="nil"/>
              <w:bottom w:val="nil"/>
              <w:right w:val="nil"/>
            </w:tcBorders>
          </w:tcPr>
          <w:p>
            <w:pPr>
              <w:pStyle w:val="TableParagraph"/>
              <w:spacing w:line="224" w:lineRule="exact"/>
              <w:rPr>
                <w:sz w:val="20"/>
              </w:rPr>
            </w:pPr>
            <w:r>
              <w:rPr>
                <w:sz w:val="20"/>
              </w:rPr>
              <w:t>2. 5-3.5</w:t>
            </w:r>
          </w:p>
        </w:tc>
      </w:tr>
      <w:tr>
        <w:trPr>
          <w:trHeight w:val="239" w:hRule="exact"/>
        </w:trPr>
        <w:tc>
          <w:tcPr>
            <w:tcW w:w="3629" w:type="dxa"/>
            <w:tcBorders>
              <w:top w:val="nil"/>
              <w:left w:val="nil"/>
              <w:bottom w:val="nil"/>
            </w:tcBorders>
          </w:tcPr>
          <w:p>
            <w:pPr>
              <w:pStyle w:val="TableParagraph"/>
              <w:spacing w:line="224" w:lineRule="exact"/>
              <w:ind w:left="208"/>
              <w:rPr>
                <w:sz w:val="20"/>
              </w:rPr>
            </w:pPr>
            <w:r>
              <w:rPr>
                <w:sz w:val="20"/>
              </w:rPr>
              <w:t>Evaporation Rate (Butyl Acetate= 1)</w:t>
            </w:r>
          </w:p>
        </w:tc>
        <w:tc>
          <w:tcPr>
            <w:tcW w:w="6061" w:type="dxa"/>
            <w:tcBorders>
              <w:top w:val="nil"/>
              <w:bottom w:val="nil"/>
              <w:right w:val="nil"/>
            </w:tcBorders>
          </w:tcPr>
          <w:p>
            <w:pPr>
              <w:pStyle w:val="TableParagraph"/>
              <w:spacing w:line="224" w:lineRule="exact"/>
              <w:rPr>
                <w:sz w:val="20"/>
              </w:rPr>
            </w:pPr>
            <w:r>
              <w:rPr>
                <w:sz w:val="20"/>
              </w:rPr>
              <w:t>&lt;  1</w:t>
            </w:r>
          </w:p>
        </w:tc>
      </w:tr>
      <w:tr>
        <w:trPr>
          <w:trHeight w:val="516" w:hRule="exact"/>
        </w:trPr>
        <w:tc>
          <w:tcPr>
            <w:tcW w:w="3629" w:type="dxa"/>
            <w:tcBorders>
              <w:top w:val="nil"/>
              <w:left w:val="nil"/>
            </w:tcBorders>
          </w:tcPr>
          <w:p>
            <w:pPr>
              <w:pStyle w:val="TableParagraph"/>
              <w:spacing w:line="226" w:lineRule="exact"/>
              <w:ind w:left="208"/>
              <w:rPr>
                <w:sz w:val="20"/>
              </w:rPr>
            </w:pPr>
            <w:r>
              <w:rPr>
                <w:sz w:val="20"/>
              </w:rPr>
              <w:t>Viscosity</w:t>
            </w:r>
          </w:p>
        </w:tc>
        <w:tc>
          <w:tcPr>
            <w:tcW w:w="6061" w:type="dxa"/>
            <w:tcBorders>
              <w:top w:val="nil"/>
              <w:right w:val="nil"/>
            </w:tcBorders>
          </w:tcPr>
          <w:p>
            <w:pPr>
              <w:pStyle w:val="TableParagraph"/>
              <w:spacing w:line="270" w:lineRule="exact"/>
              <w:rPr>
                <w:sz w:val="20"/>
              </w:rPr>
            </w:pPr>
            <w:r>
              <w:rPr>
                <w:rFonts w:ascii="Lucida Sans Unicode" w:hAnsi="Lucida Sans Unicode"/>
                <w:sz w:val="20"/>
              </w:rPr>
              <w:t>≈ </w:t>
            </w:r>
            <w:r>
              <w:rPr>
                <w:sz w:val="20"/>
              </w:rPr>
              <w:t>water</w:t>
            </w:r>
          </w:p>
        </w:tc>
      </w:tr>
    </w:tbl>
    <w:p>
      <w:pPr>
        <w:pStyle w:val="ListParagraph"/>
        <w:numPr>
          <w:ilvl w:val="0"/>
          <w:numId w:val="3"/>
        </w:numPr>
        <w:tabs>
          <w:tab w:pos="562" w:val="left" w:leader="none"/>
        </w:tabs>
        <w:spacing w:line="240" w:lineRule="auto" w:before="27" w:after="24"/>
        <w:ind w:left="562" w:right="0" w:hanging="422"/>
        <w:jc w:val="left"/>
        <w:rPr>
          <w:b/>
          <w:sz w:val="22"/>
        </w:rPr>
      </w:pPr>
      <w:r>
        <w:rPr>
          <w:b/>
          <w:sz w:val="22"/>
        </w:rPr>
        <w:t>Stability and</w:t>
      </w:r>
      <w:r>
        <w:rPr>
          <w:b/>
          <w:spacing w:val="1"/>
          <w:sz w:val="22"/>
        </w:rPr>
        <w:t> </w:t>
      </w:r>
      <w:r>
        <w:rPr>
          <w:b/>
          <w:sz w:val="22"/>
        </w:rPr>
        <w:t>Reactivity</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4"/>
        <w:gridCol w:w="6016"/>
      </w:tblGrid>
      <w:tr>
        <w:trPr>
          <w:trHeight w:val="634" w:hRule="exact"/>
        </w:trPr>
        <w:tc>
          <w:tcPr>
            <w:tcW w:w="3674" w:type="dxa"/>
            <w:tcBorders>
              <w:left w:val="nil"/>
              <w:bottom w:val="nil"/>
              <w:right w:val="nil"/>
            </w:tcBorders>
          </w:tcPr>
          <w:p>
            <w:pPr>
              <w:pStyle w:val="TableParagraph"/>
              <w:ind w:left="0"/>
              <w:rPr>
                <w:b/>
                <w:sz w:val="20"/>
              </w:rPr>
            </w:pPr>
          </w:p>
          <w:p>
            <w:pPr>
              <w:pStyle w:val="TableParagraph"/>
              <w:spacing w:before="133"/>
              <w:ind w:left="45"/>
              <w:rPr>
                <w:b/>
                <w:i/>
                <w:sz w:val="20"/>
              </w:rPr>
            </w:pPr>
            <w:r>
              <w:rPr>
                <w:b/>
                <w:i/>
                <w:sz w:val="20"/>
              </w:rPr>
              <w:t>Chemical Stability:</w:t>
            </w:r>
          </w:p>
        </w:tc>
        <w:tc>
          <w:tcPr>
            <w:tcW w:w="6016" w:type="dxa"/>
            <w:tcBorders>
              <w:left w:val="nil"/>
              <w:bottom w:val="nil"/>
              <w:right w:val="nil"/>
            </w:tcBorders>
          </w:tcPr>
          <w:p>
            <w:pPr>
              <w:pStyle w:val="TableParagraph"/>
              <w:spacing w:line="247" w:lineRule="auto" w:before="125"/>
              <w:ind w:left="152" w:right="414"/>
              <w:rPr>
                <w:sz w:val="20"/>
              </w:rPr>
            </w:pPr>
            <w:r>
              <w:rPr>
                <w:sz w:val="20"/>
              </w:rPr>
              <w:t>This is a chemically stable material. Excessive heat or contamination could cause product to become unstable.</w:t>
            </w:r>
          </w:p>
        </w:tc>
      </w:tr>
      <w:tr>
        <w:trPr>
          <w:trHeight w:val="280" w:hRule="exact"/>
        </w:trPr>
        <w:tc>
          <w:tcPr>
            <w:tcW w:w="3674" w:type="dxa"/>
            <w:tcBorders>
              <w:top w:val="nil"/>
              <w:left w:val="nil"/>
              <w:bottom w:val="nil"/>
              <w:right w:val="nil"/>
            </w:tcBorders>
          </w:tcPr>
          <w:p>
            <w:pPr>
              <w:pStyle w:val="TableParagraph"/>
              <w:spacing w:before="14"/>
              <w:ind w:left="45"/>
              <w:rPr>
                <w:b/>
                <w:i/>
                <w:sz w:val="20"/>
              </w:rPr>
            </w:pPr>
            <w:r>
              <w:rPr>
                <w:b/>
                <w:i/>
                <w:sz w:val="20"/>
              </w:rPr>
              <w:t>Conditions to Avoid:</w:t>
            </w:r>
          </w:p>
        </w:tc>
        <w:tc>
          <w:tcPr>
            <w:tcW w:w="6016" w:type="dxa"/>
            <w:tcBorders>
              <w:top w:val="nil"/>
              <w:left w:val="nil"/>
              <w:bottom w:val="nil"/>
              <w:right w:val="nil"/>
            </w:tcBorders>
          </w:tcPr>
          <w:p>
            <w:pPr>
              <w:pStyle w:val="TableParagraph"/>
              <w:spacing w:before="14"/>
              <w:ind w:left="152" w:right="414"/>
              <w:rPr>
                <w:sz w:val="20"/>
              </w:rPr>
            </w:pPr>
            <w:r>
              <w:rPr>
                <w:sz w:val="20"/>
              </w:rPr>
              <w:t>Excessive heat or contamination</w:t>
            </w:r>
          </w:p>
        </w:tc>
      </w:tr>
      <w:tr>
        <w:trPr>
          <w:trHeight w:val="280" w:hRule="exact"/>
        </w:trPr>
        <w:tc>
          <w:tcPr>
            <w:tcW w:w="3674" w:type="dxa"/>
            <w:tcBorders>
              <w:top w:val="nil"/>
              <w:left w:val="nil"/>
              <w:bottom w:val="nil"/>
              <w:right w:val="nil"/>
            </w:tcBorders>
          </w:tcPr>
          <w:p>
            <w:pPr>
              <w:pStyle w:val="TableParagraph"/>
              <w:spacing w:before="13"/>
              <w:ind w:left="45"/>
              <w:rPr>
                <w:b/>
                <w:i/>
                <w:sz w:val="20"/>
              </w:rPr>
            </w:pPr>
            <w:r>
              <w:rPr>
                <w:b/>
                <w:i/>
                <w:sz w:val="20"/>
              </w:rPr>
              <w:t>Materials to Avoid:</w:t>
            </w:r>
          </w:p>
        </w:tc>
        <w:tc>
          <w:tcPr>
            <w:tcW w:w="6016" w:type="dxa"/>
            <w:tcBorders>
              <w:top w:val="nil"/>
              <w:left w:val="nil"/>
              <w:bottom w:val="nil"/>
              <w:right w:val="nil"/>
            </w:tcBorders>
          </w:tcPr>
          <w:p>
            <w:pPr>
              <w:pStyle w:val="TableParagraph"/>
              <w:spacing w:before="13"/>
              <w:ind w:left="152" w:right="414"/>
              <w:rPr>
                <w:sz w:val="20"/>
              </w:rPr>
            </w:pPr>
            <w:r>
              <w:rPr>
                <w:sz w:val="20"/>
              </w:rPr>
              <w:t>Reducing agents, iron, copper  alloys</w:t>
            </w:r>
          </w:p>
        </w:tc>
      </w:tr>
      <w:tr>
        <w:trPr>
          <w:trHeight w:val="281" w:hRule="exact"/>
        </w:trPr>
        <w:tc>
          <w:tcPr>
            <w:tcW w:w="3674" w:type="dxa"/>
            <w:tcBorders>
              <w:top w:val="nil"/>
              <w:left w:val="nil"/>
              <w:bottom w:val="nil"/>
              <w:right w:val="nil"/>
            </w:tcBorders>
          </w:tcPr>
          <w:p>
            <w:pPr>
              <w:pStyle w:val="TableParagraph"/>
              <w:spacing w:before="14"/>
              <w:ind w:left="45"/>
              <w:rPr>
                <w:b/>
                <w:i/>
                <w:sz w:val="20"/>
              </w:rPr>
            </w:pPr>
            <w:r>
              <w:rPr>
                <w:b/>
                <w:i/>
                <w:sz w:val="20"/>
              </w:rPr>
              <w:t>Hazardous Decomposition or Byproducts:</w:t>
            </w:r>
          </w:p>
        </w:tc>
        <w:tc>
          <w:tcPr>
            <w:tcW w:w="6016" w:type="dxa"/>
            <w:tcBorders>
              <w:top w:val="nil"/>
              <w:left w:val="nil"/>
              <w:bottom w:val="nil"/>
              <w:right w:val="nil"/>
            </w:tcBorders>
          </w:tcPr>
          <w:p>
            <w:pPr>
              <w:pStyle w:val="TableParagraph"/>
              <w:spacing w:before="14"/>
              <w:ind w:left="152" w:right="414"/>
              <w:rPr>
                <w:sz w:val="20"/>
              </w:rPr>
            </w:pPr>
            <w:r>
              <w:rPr>
                <w:sz w:val="20"/>
              </w:rPr>
              <w:t>Oxygen which will support combustion.</w:t>
            </w:r>
          </w:p>
        </w:tc>
      </w:tr>
      <w:tr>
        <w:trPr>
          <w:trHeight w:val="578" w:hRule="exact"/>
        </w:trPr>
        <w:tc>
          <w:tcPr>
            <w:tcW w:w="3674" w:type="dxa"/>
            <w:tcBorders>
              <w:top w:val="nil"/>
              <w:left w:val="nil"/>
              <w:right w:val="nil"/>
            </w:tcBorders>
          </w:tcPr>
          <w:p>
            <w:pPr>
              <w:pStyle w:val="TableParagraph"/>
              <w:spacing w:before="14"/>
              <w:ind w:left="45"/>
              <w:rPr>
                <w:b/>
                <w:i/>
                <w:sz w:val="20"/>
              </w:rPr>
            </w:pPr>
            <w:r>
              <w:rPr>
                <w:b/>
                <w:i/>
                <w:sz w:val="20"/>
              </w:rPr>
              <w:t>Hazardous Polymerization</w:t>
            </w:r>
          </w:p>
        </w:tc>
        <w:tc>
          <w:tcPr>
            <w:tcW w:w="6016" w:type="dxa"/>
            <w:tcBorders>
              <w:top w:val="nil"/>
              <w:left w:val="nil"/>
              <w:right w:val="nil"/>
            </w:tcBorders>
          </w:tcPr>
          <w:p>
            <w:pPr>
              <w:pStyle w:val="TableParagraph"/>
              <w:spacing w:before="14"/>
              <w:ind w:left="152" w:right="414"/>
              <w:rPr>
                <w:sz w:val="20"/>
              </w:rPr>
            </w:pPr>
            <w:r>
              <w:rPr>
                <w:sz w:val="20"/>
              </w:rPr>
              <w:t>Will not occur.</w:t>
            </w:r>
          </w:p>
        </w:tc>
      </w:tr>
    </w:tbl>
    <w:p>
      <w:pPr>
        <w:pStyle w:val="ListParagraph"/>
        <w:numPr>
          <w:ilvl w:val="0"/>
          <w:numId w:val="3"/>
        </w:numPr>
        <w:tabs>
          <w:tab w:pos="562" w:val="left" w:leader="none"/>
        </w:tabs>
        <w:spacing w:line="240" w:lineRule="auto" w:before="27" w:after="0"/>
        <w:ind w:left="562" w:right="0" w:hanging="422"/>
        <w:jc w:val="left"/>
        <w:rPr>
          <w:b/>
          <w:sz w:val="22"/>
        </w:rPr>
      </w:pPr>
      <w:r>
        <w:rPr/>
        <w:pict>
          <v:line style="position:absolute;mso-position-horizontal-relative:page;mso-position-vertical-relative:paragraph;z-index:1360;mso-wrap-distance-left:0;mso-wrap-distance-right:0" from="70.584pt,15.489504pt" to="555.094pt,15.489504pt" stroked="true" strokeweight=".48004pt" strokecolor="#000000">
            <w10:wrap type="topAndBottom"/>
          </v:line>
        </w:pict>
      </w:r>
      <w:r>
        <w:rPr>
          <w:b/>
          <w:sz w:val="22"/>
        </w:rPr>
        <w:t>Toxicological</w:t>
      </w:r>
      <w:r>
        <w:rPr>
          <w:b/>
          <w:spacing w:val="-2"/>
          <w:sz w:val="22"/>
        </w:rPr>
        <w:t> </w:t>
      </w:r>
      <w:r>
        <w:rPr>
          <w:b/>
          <w:sz w:val="22"/>
        </w:rPr>
        <w:t>Information</w:t>
      </w:r>
    </w:p>
    <w:p>
      <w:pPr>
        <w:pStyle w:val="BodyText"/>
        <w:tabs>
          <w:tab w:pos="1580" w:val="left" w:leader="none"/>
        </w:tabs>
        <w:spacing w:line="276" w:lineRule="auto" w:before="86"/>
        <w:ind w:left="1580" w:right="712" w:hanging="1440"/>
      </w:pPr>
      <w:r>
        <w:rPr/>
        <w:t>Eyes</w:t>
        <w:tab/>
        <w:t>Will cause irritation and conjunctivitis depending on length of exposure,</w:t>
      </w:r>
      <w:r>
        <w:rPr>
          <w:spacing w:val="-26"/>
        </w:rPr>
        <w:t> </w:t>
      </w:r>
      <w:r>
        <w:rPr/>
        <w:t>solution</w:t>
      </w:r>
      <w:r>
        <w:rPr>
          <w:spacing w:val="-4"/>
        </w:rPr>
        <w:t> </w:t>
      </w:r>
      <w:r>
        <w:rPr/>
        <w:t>concentration</w:t>
      </w:r>
      <w:r>
        <w:rPr>
          <w:w w:val="99"/>
        </w:rPr>
        <w:t> </w:t>
      </w:r>
      <w:r>
        <w:rPr/>
        <w:t>and first aid measures</w:t>
      </w:r>
      <w:r>
        <w:rPr>
          <w:spacing w:val="-14"/>
        </w:rPr>
        <w:t> </w:t>
      </w:r>
      <w:r>
        <w:rPr/>
        <w:t>provided.</w:t>
      </w:r>
    </w:p>
    <w:p>
      <w:pPr>
        <w:pStyle w:val="BodyText"/>
        <w:tabs>
          <w:tab w:pos="1580" w:val="left" w:leader="none"/>
        </w:tabs>
        <w:spacing w:line="276" w:lineRule="auto"/>
        <w:ind w:left="1580" w:right="166" w:hanging="1440"/>
      </w:pPr>
      <w:r>
        <w:rPr/>
        <w:t>Skin</w:t>
        <w:tab/>
        <w:t>Prolonged contact with product may cause discomfort, no adverse effects expected form</w:t>
      </w:r>
      <w:r>
        <w:rPr>
          <w:spacing w:val="-27"/>
        </w:rPr>
        <w:t> </w:t>
      </w:r>
      <w:r>
        <w:rPr/>
        <w:t>absorption</w:t>
      </w:r>
      <w:r>
        <w:rPr>
          <w:spacing w:val="-4"/>
        </w:rPr>
        <w:t> </w:t>
      </w:r>
      <w:r>
        <w:rPr/>
        <w:t>of</w:t>
      </w:r>
      <w:r>
        <w:rPr>
          <w:w w:val="99"/>
        </w:rPr>
        <w:t> </w:t>
      </w:r>
      <w:r>
        <w:rPr/>
        <w:t>material through</w:t>
      </w:r>
      <w:r>
        <w:rPr>
          <w:spacing w:val="-8"/>
        </w:rPr>
        <w:t> </w:t>
      </w:r>
      <w:r>
        <w:rPr/>
        <w:t>skin</w:t>
      </w:r>
    </w:p>
    <w:p>
      <w:pPr>
        <w:pStyle w:val="BodyText"/>
        <w:tabs>
          <w:tab w:pos="1580" w:val="left" w:leader="none"/>
        </w:tabs>
        <w:spacing w:line="230" w:lineRule="exact" w:before="1"/>
        <w:ind w:left="1580" w:right="186" w:hanging="1440"/>
      </w:pPr>
      <w:r>
        <w:rPr/>
        <w:t>Ingestion</w:t>
        <w:tab/>
        <w:t>Not expected to be a primary route of exposure.  Rat oral LD</w:t>
      </w:r>
      <w:r>
        <w:rPr>
          <w:position w:val="-2"/>
          <w:sz w:val="13"/>
        </w:rPr>
        <w:t>50 </w:t>
      </w:r>
      <w:r>
        <w:rPr/>
        <w:t>(of mixed Part 1@49%,</w:t>
      </w:r>
      <w:r>
        <w:rPr>
          <w:spacing w:val="-6"/>
        </w:rPr>
        <w:t> </w:t>
      </w:r>
      <w:r>
        <w:rPr/>
        <w:t>Part</w:t>
      </w:r>
      <w:r>
        <w:rPr>
          <w:spacing w:val="-2"/>
        </w:rPr>
        <w:t> </w:t>
      </w:r>
      <w:r>
        <w:rPr/>
        <w:t>2@49%,</w:t>
      </w:r>
      <w:r>
        <w:rPr>
          <w:w w:val="99"/>
        </w:rPr>
        <w:t> </w:t>
      </w:r>
      <w:r>
        <w:rPr/>
        <w:t>Part 3@2%) is greater than 5000milligrams/kilogram of body weight. Rat oral LD</w:t>
      </w:r>
      <w:r>
        <w:rPr>
          <w:position w:val="-2"/>
          <w:sz w:val="13"/>
        </w:rPr>
        <w:t>50 </w:t>
      </w:r>
      <w:r>
        <w:rPr/>
        <w:t>of Part 2 alone is greater than 5000milligrams/kilogram of body</w:t>
      </w:r>
      <w:r>
        <w:rPr>
          <w:spacing w:val="-21"/>
        </w:rPr>
        <w:t> </w:t>
      </w:r>
      <w:r>
        <w:rPr/>
        <w:t>weight.</w:t>
      </w:r>
    </w:p>
    <w:p>
      <w:pPr>
        <w:spacing w:after="0" w:line="230" w:lineRule="exact"/>
        <w:sectPr>
          <w:pgSz w:w="12240" w:h="15840"/>
          <w:pgMar w:header="757" w:footer="995" w:top="980" w:bottom="1180" w:left="1300" w:right="1020"/>
        </w:sectPr>
      </w:pPr>
    </w:p>
    <w:p>
      <w:pPr>
        <w:pStyle w:val="BodyText"/>
      </w:pPr>
    </w:p>
    <w:p>
      <w:pPr>
        <w:pStyle w:val="BodyText"/>
        <w:spacing w:before="7"/>
        <w:rPr>
          <w:sz w:val="19"/>
        </w:rPr>
      </w:pPr>
    </w:p>
    <w:p>
      <w:pPr>
        <w:pStyle w:val="BodyText"/>
        <w:tabs>
          <w:tab w:pos="1580" w:val="left" w:leader="none"/>
        </w:tabs>
        <w:spacing w:line="276" w:lineRule="auto" w:before="74"/>
        <w:ind w:left="1580" w:right="521" w:hanging="1440"/>
      </w:pPr>
      <w:r>
        <w:rPr/>
        <w:t>Inhalation</w:t>
        <w:tab/>
        <w:t>Vapors or mists in unusually high concentration, in poorly ventilated areas may cause</w:t>
      </w:r>
      <w:r>
        <w:rPr>
          <w:spacing w:val="-31"/>
        </w:rPr>
        <w:t> </w:t>
      </w:r>
      <w:r>
        <w:rPr/>
        <w:t>irritation</w:t>
      </w:r>
      <w:r>
        <w:rPr>
          <w:spacing w:val="-3"/>
        </w:rPr>
        <w:t> </w:t>
      </w:r>
      <w:r>
        <w:rPr/>
        <w:t>of</w:t>
      </w:r>
      <w:r>
        <w:rPr>
          <w:w w:val="99"/>
        </w:rPr>
        <w:t> </w:t>
      </w:r>
      <w:r>
        <w:rPr/>
        <w:t>nose and</w:t>
      </w:r>
      <w:r>
        <w:rPr>
          <w:spacing w:val="-6"/>
        </w:rPr>
        <w:t> </w:t>
      </w:r>
      <w:r>
        <w:rPr/>
        <w:t>throat.</w:t>
      </w:r>
    </w:p>
    <w:p>
      <w:pPr>
        <w:tabs>
          <w:tab w:pos="1940" w:val="left" w:leader="none"/>
          <w:tab w:pos="3380" w:val="left" w:leader="none"/>
          <w:tab w:pos="6441" w:val="left" w:leader="none"/>
        </w:tabs>
        <w:spacing w:before="130"/>
        <w:ind w:left="140" w:right="414" w:firstLine="0"/>
        <w:jc w:val="left"/>
        <w:rPr>
          <w:sz w:val="20"/>
        </w:rPr>
      </w:pPr>
      <w:r>
        <w:rPr>
          <w:b/>
          <w:i/>
          <w:sz w:val="20"/>
        </w:rPr>
        <w:t>Carcinogenicity:</w:t>
        <w:tab/>
      </w:r>
      <w:r>
        <w:rPr>
          <w:spacing w:val="2"/>
          <w:sz w:val="20"/>
        </w:rPr>
        <w:t>NTP:</w:t>
      </w:r>
      <w:r>
        <w:rPr>
          <w:spacing w:val="21"/>
          <w:sz w:val="20"/>
        </w:rPr>
        <w:t> </w:t>
      </w:r>
      <w:r>
        <w:rPr>
          <w:sz w:val="20"/>
        </w:rPr>
        <w:t>No</w:t>
        <w:tab/>
        <w:t>IARC</w:t>
      </w:r>
      <w:r>
        <w:rPr>
          <w:spacing w:val="14"/>
          <w:sz w:val="20"/>
        </w:rPr>
        <w:t> </w:t>
      </w:r>
      <w:r>
        <w:rPr>
          <w:sz w:val="20"/>
        </w:rPr>
        <w:t>Monographs: </w:t>
      </w:r>
      <w:r>
        <w:rPr>
          <w:spacing w:val="31"/>
          <w:sz w:val="20"/>
        </w:rPr>
        <w:t> </w:t>
      </w:r>
      <w:r>
        <w:rPr>
          <w:sz w:val="20"/>
        </w:rPr>
        <w:t>No</w:t>
        <w:tab/>
        <w:t>OSHA Regulated: </w:t>
      </w:r>
      <w:r>
        <w:rPr>
          <w:spacing w:val="31"/>
          <w:sz w:val="20"/>
        </w:rPr>
        <w:t> </w:t>
      </w:r>
      <w:r>
        <w:rPr>
          <w:sz w:val="20"/>
        </w:rPr>
        <w:t>No</w:t>
      </w:r>
    </w:p>
    <w:p>
      <w:pPr>
        <w:pStyle w:val="BodyText"/>
      </w:pPr>
    </w:p>
    <w:p>
      <w:pPr>
        <w:pStyle w:val="BodyText"/>
        <w:spacing w:before="9"/>
        <w:rPr>
          <w:sz w:val="11"/>
        </w:rPr>
      </w:pPr>
      <w:r>
        <w:rPr/>
        <w:pict>
          <v:line style="position:absolute;mso-position-horizontal-relative:page;mso-position-vertical-relative:paragraph;z-index:1384;mso-wrap-distance-left:0;mso-wrap-distance-right:0" from="70.584pt,9.017874pt" to="555.094pt,9.017874pt" stroked="true" strokeweight=".48pt" strokecolor="#000000">
            <w10:wrap type="topAndBottom"/>
          </v:line>
        </w:pict>
      </w:r>
    </w:p>
    <w:p>
      <w:pPr>
        <w:pStyle w:val="Heading1"/>
        <w:numPr>
          <w:ilvl w:val="0"/>
          <w:numId w:val="3"/>
        </w:numPr>
        <w:tabs>
          <w:tab w:pos="562" w:val="left" w:leader="none"/>
        </w:tabs>
        <w:spacing w:line="240" w:lineRule="auto" w:before="0" w:after="24"/>
        <w:ind w:left="562" w:right="0" w:hanging="422"/>
        <w:jc w:val="left"/>
      </w:pPr>
      <w:r>
        <w:rPr/>
        <w:t>Ecological</w:t>
      </w:r>
      <w:r>
        <w:rPr>
          <w:spacing w:val="2"/>
        </w:rPr>
        <w:t> </w:t>
      </w:r>
      <w:r>
        <w:rPr/>
        <w:t>Information</w:t>
      </w:r>
    </w:p>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8pt" strokecolor="#000000"/>
          </v:group>
        </w:pict>
      </w:r>
      <w:r>
        <w:rPr>
          <w:sz w:val="2"/>
        </w:rPr>
      </w:r>
    </w:p>
    <w:p>
      <w:pPr>
        <w:pStyle w:val="BodyText"/>
        <w:spacing w:before="115"/>
        <w:ind w:left="140" w:right="414"/>
      </w:pPr>
      <w:r>
        <w:rPr/>
        <w:t>The product is not expected to be hazardous to the  environment.</w:t>
      </w:r>
    </w:p>
    <w:p>
      <w:pPr>
        <w:pStyle w:val="BodyText"/>
        <w:spacing w:before="4"/>
        <w:rPr>
          <w:sz w:val="8"/>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86"/>
        <w:gridCol w:w="8168"/>
      </w:tblGrid>
      <w:tr>
        <w:trPr>
          <w:trHeight w:val="250" w:hRule="exact"/>
        </w:trPr>
        <w:tc>
          <w:tcPr>
            <w:tcW w:w="1486" w:type="dxa"/>
          </w:tcPr>
          <w:p>
            <w:pPr>
              <w:pStyle w:val="TableParagraph"/>
              <w:spacing w:line="204" w:lineRule="exact"/>
              <w:ind w:left="28"/>
              <w:rPr>
                <w:b/>
                <w:i/>
                <w:sz w:val="20"/>
              </w:rPr>
            </w:pPr>
            <w:r>
              <w:rPr>
                <w:b/>
                <w:i/>
                <w:sz w:val="20"/>
              </w:rPr>
              <w:t>Mobility:</w:t>
            </w:r>
          </w:p>
        </w:tc>
        <w:tc>
          <w:tcPr>
            <w:tcW w:w="8168" w:type="dxa"/>
          </w:tcPr>
          <w:p>
            <w:pPr>
              <w:pStyle w:val="TableParagraph"/>
              <w:spacing w:line="204" w:lineRule="exact"/>
              <w:ind w:left="270" w:right="47"/>
              <w:rPr>
                <w:sz w:val="20"/>
              </w:rPr>
            </w:pPr>
            <w:r>
              <w:rPr>
                <w:sz w:val="20"/>
              </w:rPr>
              <w:t>This product is soluble in water and will spread in water  systems</w:t>
            </w:r>
          </w:p>
        </w:tc>
      </w:tr>
      <w:tr>
        <w:trPr>
          <w:trHeight w:val="904" w:hRule="exact"/>
        </w:trPr>
        <w:tc>
          <w:tcPr>
            <w:tcW w:w="1486" w:type="dxa"/>
          </w:tcPr>
          <w:p>
            <w:pPr>
              <w:pStyle w:val="TableParagraph"/>
              <w:spacing w:before="24"/>
              <w:ind w:left="28"/>
              <w:rPr>
                <w:b/>
                <w:i/>
                <w:sz w:val="20"/>
              </w:rPr>
            </w:pPr>
            <w:r>
              <w:rPr>
                <w:b/>
                <w:i/>
                <w:sz w:val="20"/>
              </w:rPr>
              <w:t>Degradability:</w:t>
            </w:r>
          </w:p>
        </w:tc>
        <w:tc>
          <w:tcPr>
            <w:tcW w:w="8168" w:type="dxa"/>
          </w:tcPr>
          <w:p>
            <w:pPr>
              <w:pStyle w:val="TableParagraph"/>
              <w:spacing w:line="249" w:lineRule="auto" w:before="24"/>
              <w:ind w:left="270" w:right="47"/>
              <w:rPr>
                <w:sz w:val="20"/>
              </w:rPr>
            </w:pPr>
            <w:r>
              <w:rPr>
                <w:sz w:val="20"/>
              </w:rPr>
              <w:t>The rate of degradation has ranges from 8 hr. to 20 days in water, 10 – 20 hours in air, and minutes to hours in soil depending upon microbiological activity and metals  content.</w:t>
            </w:r>
          </w:p>
        </w:tc>
      </w:tr>
    </w:tbl>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8pt" strokecolor="#000000"/>
          </v:group>
        </w:pict>
      </w:r>
      <w:r>
        <w:rPr>
          <w:sz w:val="2"/>
        </w:rPr>
      </w:r>
    </w:p>
    <w:p>
      <w:pPr>
        <w:pStyle w:val="Heading1"/>
        <w:numPr>
          <w:ilvl w:val="0"/>
          <w:numId w:val="3"/>
        </w:numPr>
        <w:tabs>
          <w:tab w:pos="563" w:val="left" w:leader="none"/>
        </w:tabs>
        <w:spacing w:line="240" w:lineRule="auto" w:before="12" w:after="0"/>
        <w:ind w:left="562" w:right="0" w:hanging="422"/>
        <w:jc w:val="left"/>
      </w:pPr>
      <w:r>
        <w:rPr/>
        <w:pict>
          <v:line style="position:absolute;mso-position-horizontal-relative:page;mso-position-vertical-relative:paragraph;z-index:1456;mso-wrap-distance-left:0;mso-wrap-distance-right:0" from="70.584pt,14.709526pt" to="555.094pt,14.709526pt" stroked="true" strokeweight=".48pt" strokecolor="#000000">
            <w10:wrap type="topAndBottom"/>
          </v:line>
        </w:pict>
      </w:r>
      <w:r>
        <w:rPr/>
        <w:t>Disposal</w:t>
      </w:r>
      <w:r>
        <w:rPr>
          <w:spacing w:val="-5"/>
        </w:rPr>
        <w:t> </w:t>
      </w:r>
      <w:r>
        <w:rPr/>
        <w:t>Considerations</w:t>
      </w:r>
    </w:p>
    <w:p>
      <w:pPr>
        <w:pStyle w:val="BodyText"/>
        <w:spacing w:line="249" w:lineRule="auto" w:before="96"/>
        <w:ind w:left="140" w:right="414"/>
      </w:pPr>
      <w:r>
        <w:rPr/>
        <w:t>Waste Material Disposal of in accordance with Local, State and Provincial Environmental Regulations. May be diluted, allowing time for decomposition and discharged to suitable treatment  system.</w:t>
      </w:r>
    </w:p>
    <w:p>
      <w:pPr>
        <w:pStyle w:val="BodyText"/>
        <w:spacing w:before="121"/>
        <w:ind w:left="140" w:right="414"/>
      </w:pPr>
      <w:r>
        <w:rPr/>
        <w:pict>
          <v:line style="position:absolute;mso-position-horizontal-relative:page;mso-position-vertical-relative:paragraph;z-index:1480;mso-wrap-distance-left:0;mso-wrap-distance-right:0" from="70.584pt,24.025936pt" to="555.094pt,24.025936pt" stroked="true" strokeweight=".48001pt" strokecolor="#000000">
            <w10:wrap type="topAndBottom"/>
          </v:line>
        </w:pict>
      </w:r>
      <w:r>
        <w:rPr/>
        <w:t>Treat container as residue.</w:t>
      </w:r>
    </w:p>
    <w:p>
      <w:pPr>
        <w:pStyle w:val="Heading1"/>
        <w:numPr>
          <w:ilvl w:val="0"/>
          <w:numId w:val="3"/>
        </w:numPr>
        <w:tabs>
          <w:tab w:pos="563" w:val="left" w:leader="none"/>
        </w:tabs>
        <w:spacing w:line="240" w:lineRule="auto" w:before="0" w:after="24"/>
        <w:ind w:left="562" w:right="0" w:hanging="422"/>
        <w:jc w:val="left"/>
      </w:pPr>
      <w:r>
        <w:rPr/>
        <w:t>Transport</w:t>
      </w:r>
      <w:r>
        <w:rPr>
          <w:spacing w:val="3"/>
        </w:rPr>
        <w:t> </w:t>
      </w:r>
      <w:r>
        <w:rPr/>
        <w:t>Information</w:t>
      </w:r>
    </w:p>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7998pt" strokecolor="#000000"/>
          </v:group>
        </w:pict>
      </w:r>
      <w:r>
        <w:rPr>
          <w:sz w:val="2"/>
        </w:rPr>
      </w:r>
    </w:p>
    <w:p>
      <w:pPr>
        <w:pStyle w:val="BodyText"/>
        <w:spacing w:before="115"/>
        <w:ind w:left="140" w:right="414"/>
      </w:pPr>
      <w:r>
        <w:rPr/>
        <w:t>Not Regulated</w:t>
      </w:r>
    </w:p>
    <w:p>
      <w:pPr>
        <w:pStyle w:val="BodyText"/>
        <w:spacing w:before="9"/>
        <w:rPr>
          <w:sz w:val="1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36"/>
        <w:gridCol w:w="7055"/>
      </w:tblGrid>
      <w:tr>
        <w:trPr>
          <w:trHeight w:val="314" w:hRule="exact"/>
        </w:trPr>
        <w:tc>
          <w:tcPr>
            <w:tcW w:w="2636" w:type="dxa"/>
            <w:tcBorders>
              <w:left w:val="nil"/>
              <w:right w:val="nil"/>
            </w:tcBorders>
          </w:tcPr>
          <w:p>
            <w:pPr>
              <w:pStyle w:val="TableParagraph"/>
              <w:spacing w:before="27"/>
              <w:ind w:left="28"/>
              <w:rPr>
                <w:b/>
                <w:sz w:val="22"/>
              </w:rPr>
            </w:pPr>
            <w:r>
              <w:rPr>
                <w:b/>
                <w:sz w:val="22"/>
              </w:rPr>
              <w:t>15.   Regulatory Informatio</w:t>
            </w:r>
          </w:p>
        </w:tc>
        <w:tc>
          <w:tcPr>
            <w:tcW w:w="7055" w:type="dxa"/>
            <w:tcBorders>
              <w:left w:val="nil"/>
              <w:right w:val="nil"/>
            </w:tcBorders>
          </w:tcPr>
          <w:p>
            <w:pPr>
              <w:pStyle w:val="TableParagraph"/>
              <w:spacing w:before="27"/>
              <w:ind w:left="-47"/>
              <w:rPr>
                <w:b/>
                <w:sz w:val="22"/>
              </w:rPr>
            </w:pPr>
            <w:r>
              <w:rPr>
                <w:b/>
                <w:w w:val="100"/>
                <w:sz w:val="22"/>
              </w:rPr>
              <w:t>n</w:t>
            </w:r>
          </w:p>
        </w:tc>
      </w:tr>
      <w:tr>
        <w:trPr>
          <w:trHeight w:val="376" w:hRule="exact"/>
        </w:trPr>
        <w:tc>
          <w:tcPr>
            <w:tcW w:w="2636" w:type="dxa"/>
            <w:tcBorders>
              <w:left w:val="nil"/>
              <w:bottom w:val="nil"/>
              <w:right w:val="nil"/>
            </w:tcBorders>
          </w:tcPr>
          <w:p>
            <w:pPr>
              <w:pStyle w:val="TableParagraph"/>
              <w:spacing w:before="125"/>
              <w:ind w:left="136"/>
              <w:rPr>
                <w:b/>
                <w:i/>
                <w:sz w:val="20"/>
              </w:rPr>
            </w:pPr>
            <w:r>
              <w:rPr>
                <w:b/>
                <w:i/>
                <w:sz w:val="20"/>
              </w:rPr>
              <w:t>DOT Hazard Class:</w:t>
            </w:r>
          </w:p>
        </w:tc>
        <w:tc>
          <w:tcPr>
            <w:tcW w:w="7055" w:type="dxa"/>
            <w:tcBorders>
              <w:left w:val="nil"/>
              <w:bottom w:val="nil"/>
              <w:right w:val="nil"/>
            </w:tcBorders>
          </w:tcPr>
          <w:p>
            <w:pPr>
              <w:pStyle w:val="TableParagraph"/>
              <w:spacing w:before="125"/>
              <w:ind w:left="110" w:right="3438"/>
              <w:rPr>
                <w:sz w:val="20"/>
              </w:rPr>
            </w:pPr>
            <w:r>
              <w:rPr>
                <w:sz w:val="20"/>
              </w:rPr>
              <w:t>Not regulated</w:t>
            </w:r>
          </w:p>
        </w:tc>
      </w:tr>
      <w:tr>
        <w:trPr>
          <w:trHeight w:val="240" w:hRule="exact"/>
        </w:trPr>
        <w:tc>
          <w:tcPr>
            <w:tcW w:w="2636" w:type="dxa"/>
            <w:tcBorders>
              <w:top w:val="nil"/>
              <w:left w:val="nil"/>
              <w:bottom w:val="nil"/>
              <w:right w:val="nil"/>
            </w:tcBorders>
          </w:tcPr>
          <w:p>
            <w:pPr>
              <w:pStyle w:val="TableParagraph"/>
              <w:spacing w:line="224" w:lineRule="exact"/>
              <w:ind w:left="136"/>
              <w:rPr>
                <w:b/>
                <w:i/>
                <w:sz w:val="20"/>
              </w:rPr>
            </w:pPr>
            <w:r>
              <w:rPr>
                <w:b/>
                <w:i/>
                <w:sz w:val="20"/>
              </w:rPr>
              <w:t>EPA Hazardous Substances:</w:t>
            </w:r>
          </w:p>
        </w:tc>
        <w:tc>
          <w:tcPr>
            <w:tcW w:w="7055" w:type="dxa"/>
            <w:tcBorders>
              <w:top w:val="nil"/>
              <w:left w:val="nil"/>
              <w:bottom w:val="nil"/>
              <w:right w:val="nil"/>
            </w:tcBorders>
          </w:tcPr>
          <w:p>
            <w:pPr>
              <w:pStyle w:val="TableParagraph"/>
              <w:spacing w:line="224" w:lineRule="exact"/>
              <w:ind w:left="110" w:right="3438"/>
              <w:rPr>
                <w:sz w:val="20"/>
              </w:rPr>
            </w:pPr>
            <w:r>
              <w:rPr>
                <w:sz w:val="20"/>
              </w:rPr>
              <w:t>None</w:t>
            </w:r>
          </w:p>
        </w:tc>
      </w:tr>
      <w:tr>
        <w:trPr>
          <w:trHeight w:val="480" w:hRule="exact"/>
        </w:trPr>
        <w:tc>
          <w:tcPr>
            <w:tcW w:w="2636" w:type="dxa"/>
            <w:tcBorders>
              <w:top w:val="nil"/>
              <w:left w:val="nil"/>
              <w:bottom w:val="nil"/>
              <w:right w:val="nil"/>
            </w:tcBorders>
          </w:tcPr>
          <w:p>
            <w:pPr>
              <w:pStyle w:val="TableParagraph"/>
              <w:spacing w:line="224" w:lineRule="exact"/>
              <w:ind w:left="136"/>
              <w:rPr>
                <w:b/>
                <w:i/>
                <w:sz w:val="20"/>
              </w:rPr>
            </w:pPr>
            <w:r>
              <w:rPr>
                <w:b/>
                <w:i/>
                <w:sz w:val="20"/>
              </w:rPr>
              <w:t>SARA 311/312 Hazards:</w:t>
            </w:r>
          </w:p>
        </w:tc>
        <w:tc>
          <w:tcPr>
            <w:tcW w:w="7055" w:type="dxa"/>
            <w:tcBorders>
              <w:top w:val="nil"/>
              <w:left w:val="nil"/>
              <w:bottom w:val="nil"/>
              <w:right w:val="nil"/>
            </w:tcBorders>
          </w:tcPr>
          <w:p>
            <w:pPr>
              <w:pStyle w:val="TableParagraph"/>
              <w:spacing w:line="249" w:lineRule="auto"/>
              <w:ind w:left="110" w:right="3438"/>
              <w:rPr>
                <w:sz w:val="20"/>
              </w:rPr>
            </w:pPr>
            <w:r>
              <w:rPr>
                <w:sz w:val="20"/>
              </w:rPr>
              <w:t>Immediate (Acute) Health Hazard, Fire TPQ None</w:t>
            </w:r>
          </w:p>
        </w:tc>
      </w:tr>
      <w:tr>
        <w:trPr>
          <w:trHeight w:val="240" w:hRule="exact"/>
        </w:trPr>
        <w:tc>
          <w:tcPr>
            <w:tcW w:w="2636" w:type="dxa"/>
            <w:tcBorders>
              <w:top w:val="nil"/>
              <w:left w:val="nil"/>
              <w:bottom w:val="nil"/>
              <w:right w:val="nil"/>
            </w:tcBorders>
          </w:tcPr>
          <w:p>
            <w:pPr>
              <w:pStyle w:val="TableParagraph"/>
              <w:spacing w:line="224" w:lineRule="exact"/>
              <w:ind w:left="136"/>
              <w:rPr>
                <w:b/>
                <w:i/>
                <w:sz w:val="20"/>
              </w:rPr>
            </w:pPr>
            <w:r>
              <w:rPr>
                <w:b/>
                <w:i/>
                <w:sz w:val="20"/>
              </w:rPr>
              <w:t>SARA Title III:</w:t>
            </w:r>
          </w:p>
        </w:tc>
        <w:tc>
          <w:tcPr>
            <w:tcW w:w="7055" w:type="dxa"/>
            <w:tcBorders>
              <w:top w:val="nil"/>
              <w:left w:val="nil"/>
              <w:bottom w:val="nil"/>
              <w:right w:val="nil"/>
            </w:tcBorders>
          </w:tcPr>
          <w:p>
            <w:pPr>
              <w:pStyle w:val="TableParagraph"/>
              <w:spacing w:line="224" w:lineRule="exact"/>
              <w:ind w:left="110" w:right="3438"/>
              <w:rPr>
                <w:sz w:val="20"/>
              </w:rPr>
            </w:pPr>
            <w:r>
              <w:rPr>
                <w:sz w:val="20"/>
              </w:rPr>
              <w:t>none</w:t>
            </w:r>
          </w:p>
        </w:tc>
      </w:tr>
      <w:tr>
        <w:trPr>
          <w:trHeight w:val="460" w:hRule="exact"/>
        </w:trPr>
        <w:tc>
          <w:tcPr>
            <w:tcW w:w="2636" w:type="dxa"/>
            <w:tcBorders>
              <w:top w:val="nil"/>
              <w:left w:val="nil"/>
              <w:bottom w:val="nil"/>
              <w:right w:val="nil"/>
            </w:tcBorders>
          </w:tcPr>
          <w:p>
            <w:pPr>
              <w:pStyle w:val="TableParagraph"/>
              <w:spacing w:line="249" w:lineRule="auto"/>
              <w:ind w:left="136" w:right="451"/>
              <w:rPr>
                <w:sz w:val="20"/>
              </w:rPr>
            </w:pPr>
            <w:r>
              <w:rPr>
                <w:b/>
                <w:i/>
                <w:sz w:val="20"/>
              </w:rPr>
              <w:t>Governmental Inventory </w:t>
            </w:r>
            <w:r>
              <w:rPr>
                <w:b/>
                <w:i/>
                <w:sz w:val="20"/>
              </w:rPr>
              <w:t>Status</w:t>
            </w:r>
            <w:r>
              <w:rPr>
                <w:sz w:val="20"/>
              </w:rPr>
              <w:t>:</w:t>
            </w:r>
          </w:p>
        </w:tc>
        <w:tc>
          <w:tcPr>
            <w:tcW w:w="7055" w:type="dxa"/>
            <w:tcBorders>
              <w:top w:val="nil"/>
              <w:left w:val="nil"/>
              <w:bottom w:val="nil"/>
              <w:right w:val="nil"/>
            </w:tcBorders>
          </w:tcPr>
          <w:p>
            <w:pPr>
              <w:pStyle w:val="TableParagraph"/>
              <w:spacing w:line="249" w:lineRule="auto"/>
              <w:ind w:left="110" w:right="592"/>
              <w:rPr>
                <w:sz w:val="20"/>
              </w:rPr>
            </w:pPr>
            <w:r>
              <w:rPr>
                <w:sz w:val="20"/>
              </w:rPr>
              <w:t>All components comply with TSCA, DSL, AICS, NZIoC, ENCS, KECI, PICCS and IECSC.</w:t>
            </w:r>
          </w:p>
        </w:tc>
      </w:tr>
    </w:tbl>
    <w:p>
      <w:pPr>
        <w:pStyle w:val="BodyText"/>
      </w:pPr>
    </w:p>
    <w:p>
      <w:pPr>
        <w:pStyle w:val="BodyText"/>
        <w:spacing w:before="1"/>
        <w:rPr>
          <w:sz w:val="19"/>
        </w:rPr>
      </w:pPr>
      <w:r>
        <w:rPr/>
        <w:pict>
          <v:line style="position:absolute;mso-position-horizontal-relative:page;mso-position-vertical-relative:paragraph;z-index:1528;mso-wrap-distance-left:0;mso-wrap-distance-right:0" from="70.584pt,13.195537pt" to="555.094pt,13.195537pt" stroked="true" strokeweight=".47998pt" strokecolor="#000000">
            <w10:wrap type="topAndBottom"/>
          </v:line>
        </w:pict>
      </w:r>
    </w:p>
    <w:p>
      <w:pPr>
        <w:pStyle w:val="Heading1"/>
        <w:spacing w:line="251" w:lineRule="exact" w:after="27"/>
        <w:ind w:left="140" w:right="414" w:firstLine="0"/>
      </w:pPr>
      <w:r>
        <w:rPr/>
        <w:t>16.  OTHER INFORMATION</w:t>
      </w:r>
    </w:p>
    <w:p>
      <w:pPr>
        <w:pStyle w:val="BodyText"/>
        <w:spacing w:line="20" w:lineRule="exact"/>
        <w:ind w:left="106"/>
        <w:rPr>
          <w:sz w:val="2"/>
        </w:rPr>
      </w:pPr>
      <w:r>
        <w:rPr>
          <w:sz w:val="2"/>
        </w:rPr>
        <w:pict>
          <v:group style="width:485.05pt;height:.5pt;mso-position-horizontal-relative:char;mso-position-vertical-relative:line" coordorigin="0,0" coordsize="9701,10">
            <v:line style="position:absolute" from="5,5" to="9695,5" stroked="true" strokeweight=".47998pt" strokecolor="#000000"/>
          </v:group>
        </w:pict>
      </w:r>
      <w:r>
        <w:rPr>
          <w:sz w:val="2"/>
        </w:rPr>
      </w:r>
    </w:p>
    <w:p>
      <w:pPr>
        <w:pStyle w:val="BodyText"/>
        <w:spacing w:before="1" w:after="1"/>
        <w:rPr>
          <w:b/>
          <w:sz w:val="24"/>
        </w:rPr>
      </w:pPr>
    </w:p>
    <w:tbl>
      <w:tblPr>
        <w:tblW w:w="0" w:type="auto"/>
        <w:jc w:val="left"/>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1079"/>
        <w:gridCol w:w="1256"/>
        <w:gridCol w:w="1169"/>
        <w:gridCol w:w="1171"/>
      </w:tblGrid>
      <w:tr>
        <w:trPr>
          <w:trHeight w:val="264" w:hRule="exact"/>
        </w:trPr>
        <w:tc>
          <w:tcPr>
            <w:tcW w:w="1985" w:type="dxa"/>
            <w:vMerge w:val="restart"/>
          </w:tcPr>
          <w:p>
            <w:pPr>
              <w:pStyle w:val="TableParagraph"/>
              <w:spacing w:before="144"/>
              <w:ind w:left="100"/>
              <w:rPr>
                <w:b/>
                <w:sz w:val="20"/>
              </w:rPr>
            </w:pPr>
            <w:r>
              <w:rPr>
                <w:b/>
                <w:sz w:val="20"/>
              </w:rPr>
              <w:t>US NFPA Codes</w:t>
            </w:r>
          </w:p>
        </w:tc>
        <w:tc>
          <w:tcPr>
            <w:tcW w:w="1079" w:type="dxa"/>
          </w:tcPr>
          <w:p>
            <w:pPr>
              <w:pStyle w:val="TableParagraph"/>
              <w:spacing w:before="19"/>
              <w:ind w:left="206" w:right="219"/>
              <w:jc w:val="center"/>
              <w:rPr>
                <w:b/>
                <w:sz w:val="20"/>
              </w:rPr>
            </w:pPr>
            <w:r>
              <w:rPr>
                <w:b/>
                <w:sz w:val="20"/>
              </w:rPr>
              <w:t>Health</w:t>
            </w:r>
          </w:p>
        </w:tc>
        <w:tc>
          <w:tcPr>
            <w:tcW w:w="1256" w:type="dxa"/>
          </w:tcPr>
          <w:p>
            <w:pPr>
              <w:pStyle w:val="TableParagraph"/>
              <w:spacing w:before="19"/>
              <w:ind w:left="405" w:right="419"/>
              <w:jc w:val="center"/>
              <w:rPr>
                <w:b/>
                <w:sz w:val="20"/>
              </w:rPr>
            </w:pPr>
            <w:r>
              <w:rPr>
                <w:b/>
                <w:sz w:val="20"/>
              </w:rPr>
              <w:t>Fire</w:t>
            </w:r>
          </w:p>
        </w:tc>
        <w:tc>
          <w:tcPr>
            <w:tcW w:w="1169" w:type="dxa"/>
          </w:tcPr>
          <w:p>
            <w:pPr>
              <w:pStyle w:val="TableParagraph"/>
              <w:spacing w:before="19"/>
              <w:ind w:left="124" w:right="128"/>
              <w:jc w:val="center"/>
              <w:rPr>
                <w:b/>
                <w:sz w:val="20"/>
              </w:rPr>
            </w:pPr>
            <w:r>
              <w:rPr>
                <w:b/>
                <w:sz w:val="20"/>
              </w:rPr>
              <w:t>Reactivity</w:t>
            </w:r>
          </w:p>
        </w:tc>
        <w:tc>
          <w:tcPr>
            <w:tcW w:w="1171" w:type="dxa"/>
            <w:tcBorders>
              <w:top w:val="nil"/>
              <w:bottom w:val="nil"/>
              <w:right w:val="nil"/>
            </w:tcBorders>
          </w:tcPr>
          <w:p>
            <w:pPr>
              <w:pStyle w:val="TableParagraph"/>
              <w:spacing w:before="24"/>
              <w:ind w:left="254" w:right="261"/>
              <w:jc w:val="center"/>
              <w:rPr>
                <w:b/>
                <w:sz w:val="20"/>
              </w:rPr>
            </w:pPr>
            <w:r>
              <w:rPr>
                <w:b/>
                <w:sz w:val="20"/>
              </w:rPr>
              <w:t>Special</w:t>
            </w:r>
          </w:p>
        </w:tc>
      </w:tr>
      <w:tr>
        <w:trPr>
          <w:trHeight w:val="264" w:hRule="exact"/>
        </w:trPr>
        <w:tc>
          <w:tcPr>
            <w:tcW w:w="1985" w:type="dxa"/>
            <w:vMerge/>
          </w:tcPr>
          <w:p>
            <w:pPr/>
          </w:p>
        </w:tc>
        <w:tc>
          <w:tcPr>
            <w:tcW w:w="1079" w:type="dxa"/>
          </w:tcPr>
          <w:p>
            <w:pPr>
              <w:pStyle w:val="TableParagraph"/>
              <w:spacing w:before="19"/>
              <w:ind w:left="0" w:right="17"/>
              <w:jc w:val="center"/>
              <w:rPr>
                <w:sz w:val="20"/>
              </w:rPr>
            </w:pPr>
            <w:r>
              <w:rPr>
                <w:w w:val="99"/>
                <w:sz w:val="20"/>
              </w:rPr>
              <w:t>1</w:t>
            </w:r>
          </w:p>
        </w:tc>
        <w:tc>
          <w:tcPr>
            <w:tcW w:w="1256" w:type="dxa"/>
          </w:tcPr>
          <w:p>
            <w:pPr>
              <w:pStyle w:val="TableParagraph"/>
              <w:spacing w:before="19"/>
              <w:ind w:left="0" w:right="14"/>
              <w:jc w:val="center"/>
              <w:rPr>
                <w:sz w:val="20"/>
              </w:rPr>
            </w:pPr>
            <w:r>
              <w:rPr>
                <w:w w:val="99"/>
                <w:sz w:val="20"/>
              </w:rPr>
              <w:t>0</w:t>
            </w:r>
          </w:p>
        </w:tc>
        <w:tc>
          <w:tcPr>
            <w:tcW w:w="1169" w:type="dxa"/>
          </w:tcPr>
          <w:p>
            <w:pPr>
              <w:pStyle w:val="TableParagraph"/>
              <w:spacing w:before="19"/>
              <w:ind w:left="0" w:right="7"/>
              <w:jc w:val="center"/>
              <w:rPr>
                <w:sz w:val="20"/>
              </w:rPr>
            </w:pPr>
            <w:r>
              <w:rPr>
                <w:w w:val="99"/>
                <w:sz w:val="20"/>
              </w:rPr>
              <w:t>1</w:t>
            </w:r>
          </w:p>
        </w:tc>
        <w:tc>
          <w:tcPr>
            <w:tcW w:w="1171" w:type="dxa"/>
            <w:tcBorders>
              <w:top w:val="nil"/>
              <w:right w:val="nil"/>
            </w:tcBorders>
          </w:tcPr>
          <w:p>
            <w:pPr>
              <w:pStyle w:val="TableParagraph"/>
              <w:spacing w:before="24"/>
              <w:ind w:left="254" w:right="261"/>
              <w:jc w:val="center"/>
              <w:rPr>
                <w:sz w:val="20"/>
              </w:rPr>
            </w:pPr>
            <w:r>
              <w:rPr>
                <w:sz w:val="20"/>
              </w:rPr>
              <w:t>OX</w:t>
            </w:r>
          </w:p>
        </w:tc>
      </w:tr>
      <w:tr>
        <w:trPr>
          <w:trHeight w:val="266" w:hRule="exact"/>
        </w:trPr>
        <w:tc>
          <w:tcPr>
            <w:tcW w:w="1985" w:type="dxa"/>
            <w:vMerge w:val="restart"/>
          </w:tcPr>
          <w:p>
            <w:pPr>
              <w:pStyle w:val="TableParagraph"/>
              <w:spacing w:before="147"/>
              <w:ind w:left="100"/>
              <w:rPr>
                <w:b/>
                <w:sz w:val="20"/>
              </w:rPr>
            </w:pPr>
            <w:r>
              <w:rPr>
                <w:b/>
                <w:sz w:val="20"/>
              </w:rPr>
              <w:t>HMIS Codes</w:t>
            </w:r>
          </w:p>
        </w:tc>
        <w:tc>
          <w:tcPr>
            <w:tcW w:w="1079" w:type="dxa"/>
          </w:tcPr>
          <w:p>
            <w:pPr>
              <w:pStyle w:val="TableParagraph"/>
              <w:spacing w:before="22"/>
              <w:ind w:left="219" w:right="207"/>
              <w:jc w:val="center"/>
              <w:rPr>
                <w:b/>
                <w:sz w:val="20"/>
              </w:rPr>
            </w:pPr>
            <w:r>
              <w:rPr>
                <w:b/>
                <w:sz w:val="20"/>
              </w:rPr>
              <w:t>Health</w:t>
            </w:r>
          </w:p>
        </w:tc>
        <w:tc>
          <w:tcPr>
            <w:tcW w:w="1256" w:type="dxa"/>
          </w:tcPr>
          <w:p>
            <w:pPr>
              <w:pStyle w:val="TableParagraph"/>
              <w:spacing w:before="22"/>
              <w:ind w:left="418" w:right="406"/>
              <w:jc w:val="center"/>
              <w:rPr>
                <w:b/>
                <w:sz w:val="20"/>
              </w:rPr>
            </w:pPr>
            <w:r>
              <w:rPr>
                <w:b/>
                <w:sz w:val="20"/>
              </w:rPr>
              <w:t>Fire</w:t>
            </w:r>
          </w:p>
        </w:tc>
        <w:tc>
          <w:tcPr>
            <w:tcW w:w="1169" w:type="dxa"/>
          </w:tcPr>
          <w:p>
            <w:pPr>
              <w:pStyle w:val="TableParagraph"/>
              <w:spacing w:before="22"/>
              <w:ind w:left="124" w:right="128"/>
              <w:jc w:val="center"/>
              <w:rPr>
                <w:b/>
                <w:sz w:val="20"/>
              </w:rPr>
            </w:pPr>
            <w:r>
              <w:rPr>
                <w:b/>
                <w:sz w:val="20"/>
              </w:rPr>
              <w:t>Reactivity</w:t>
            </w:r>
          </w:p>
        </w:tc>
        <w:tc>
          <w:tcPr>
            <w:tcW w:w="1171" w:type="dxa"/>
          </w:tcPr>
          <w:p>
            <w:pPr>
              <w:pStyle w:val="TableParagraph"/>
              <w:spacing w:before="7"/>
              <w:ind w:left="184" w:right="184"/>
              <w:jc w:val="center"/>
              <w:rPr>
                <w:b/>
                <w:sz w:val="20"/>
              </w:rPr>
            </w:pPr>
            <w:r>
              <w:rPr>
                <w:b/>
                <w:sz w:val="20"/>
              </w:rPr>
              <w:t>PPE</w:t>
            </w:r>
          </w:p>
        </w:tc>
      </w:tr>
      <w:tr>
        <w:trPr>
          <w:trHeight w:val="264" w:hRule="exact"/>
        </w:trPr>
        <w:tc>
          <w:tcPr>
            <w:tcW w:w="1985" w:type="dxa"/>
            <w:vMerge/>
          </w:tcPr>
          <w:p>
            <w:pPr/>
          </w:p>
        </w:tc>
        <w:tc>
          <w:tcPr>
            <w:tcW w:w="1079" w:type="dxa"/>
          </w:tcPr>
          <w:p>
            <w:pPr>
              <w:pStyle w:val="TableParagraph"/>
              <w:spacing w:before="19"/>
              <w:ind w:left="9"/>
              <w:jc w:val="center"/>
              <w:rPr>
                <w:sz w:val="20"/>
              </w:rPr>
            </w:pPr>
            <w:r>
              <w:rPr>
                <w:w w:val="99"/>
                <w:sz w:val="20"/>
              </w:rPr>
              <w:t>1</w:t>
            </w:r>
          </w:p>
        </w:tc>
        <w:tc>
          <w:tcPr>
            <w:tcW w:w="1256" w:type="dxa"/>
          </w:tcPr>
          <w:p>
            <w:pPr>
              <w:pStyle w:val="TableParagraph"/>
              <w:spacing w:before="19"/>
              <w:ind w:left="12"/>
              <w:jc w:val="center"/>
              <w:rPr>
                <w:sz w:val="20"/>
              </w:rPr>
            </w:pPr>
            <w:r>
              <w:rPr>
                <w:w w:val="99"/>
                <w:sz w:val="20"/>
              </w:rPr>
              <w:t>0</w:t>
            </w:r>
          </w:p>
        </w:tc>
        <w:tc>
          <w:tcPr>
            <w:tcW w:w="1169" w:type="dxa"/>
          </w:tcPr>
          <w:p>
            <w:pPr>
              <w:pStyle w:val="TableParagraph"/>
              <w:spacing w:before="19"/>
              <w:ind w:left="0" w:right="7"/>
              <w:jc w:val="center"/>
              <w:rPr>
                <w:sz w:val="20"/>
              </w:rPr>
            </w:pPr>
            <w:r>
              <w:rPr>
                <w:w w:val="99"/>
                <w:sz w:val="20"/>
              </w:rPr>
              <w:t>1</w:t>
            </w:r>
          </w:p>
        </w:tc>
        <w:tc>
          <w:tcPr>
            <w:tcW w:w="1171" w:type="dxa"/>
          </w:tcPr>
          <w:p>
            <w:pPr>
              <w:pStyle w:val="TableParagraph"/>
              <w:spacing w:before="5"/>
              <w:ind w:left="184" w:right="186"/>
              <w:jc w:val="center"/>
              <w:rPr>
                <w:sz w:val="20"/>
              </w:rPr>
            </w:pPr>
            <w:r>
              <w:rPr>
                <w:sz w:val="20"/>
              </w:rPr>
              <w:t>Section 8</w:t>
            </w:r>
          </w:p>
        </w:tc>
      </w:tr>
    </w:tbl>
    <w:p>
      <w:pPr>
        <w:pStyle w:val="BodyText"/>
        <w:spacing w:before="1"/>
        <w:rPr>
          <w:b/>
          <w:sz w:val="14"/>
        </w:rPr>
      </w:pPr>
    </w:p>
    <w:p>
      <w:pPr>
        <w:pStyle w:val="BodyText"/>
        <w:spacing w:line="276" w:lineRule="auto" w:before="73"/>
        <w:ind w:left="140" w:right="484"/>
      </w:pPr>
      <w:r>
        <w:rPr/>
        <w:t>The information on this SDS reflects the latest information that we have on hazards, properties, and handling of this product under recommended conditions of use. This company believes this information to be accurate and reliable however, the accuracy and completeness is not guaranteed.</w:t>
      </w:r>
    </w:p>
    <w:sectPr>
      <w:pgSz w:w="12240" w:h="15840"/>
      <w:pgMar w:header="757" w:footer="995" w:top="980" w:bottom="118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3903pt;margin-top:731.241333pt;width:126.5pt;height:12pt;mso-position-horizontal-relative:page;mso-position-vertical-relative:page;z-index:-14584" type="#_x0000_t202" filled="false" stroked="false">
          <v:textbox inset="0,0,0,0">
            <w:txbxContent>
              <w:p>
                <w:pPr>
                  <w:pStyle w:val="BodyText"/>
                  <w:spacing w:line="224" w:lineRule="exact"/>
                  <w:ind w:left="20"/>
                </w:pPr>
                <w:r>
                  <w:rPr/>
                  <w:t>SDS EFT EasyDECON Part 2</w:t>
                </w:r>
              </w:p>
            </w:txbxContent>
          </v:textbox>
          <w10:wrap type="none"/>
        </v:shape>
      </w:pict>
    </w:r>
    <w:r>
      <w:rPr/>
      <w:pict>
        <v:shape style="position:absolute;margin-left:456.386261pt;margin-top:731.241333pt;width:48.8pt;height:12pt;mso-position-horizontal-relative:page;mso-position-vertical-relative:page;z-index:-14560" type="#_x0000_t202" filled="false" stroked="false">
          <v:textbox inset="0,0,0,0">
            <w:txbxContent>
              <w:p>
                <w:pPr>
                  <w:spacing w:line="224" w:lineRule="exact" w:before="0"/>
                  <w:ind w:left="20"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of </w:t>
                </w:r>
                <w:r>
                  <w:rPr>
                    <w:b/>
                    <w:sz w:val="20"/>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023903pt;margin-top:36.863914pt;width:101.6pt;height:14pt;mso-position-horizontal-relative:page;mso-position-vertical-relative:page;z-index:-14656" type="#_x0000_t202" filled="false" stroked="false">
          <v:textbox inset="0,0,0,0">
            <w:txbxContent>
              <w:p>
                <w:pPr>
                  <w:spacing w:line="265" w:lineRule="exact" w:before="0"/>
                  <w:ind w:left="20" w:right="0" w:firstLine="0"/>
                  <w:jc w:val="left"/>
                  <w:rPr>
                    <w:b/>
                    <w:sz w:val="24"/>
                  </w:rPr>
                </w:pPr>
                <w:r>
                  <w:rPr>
                    <w:b/>
                    <w:sz w:val="24"/>
                  </w:rPr>
                  <w:t>EFT Holdings, Inc.</w:t>
                </w:r>
              </w:p>
            </w:txbxContent>
          </v:textbox>
          <w10:wrap type="none"/>
        </v:shape>
      </w:pict>
    </w:r>
    <w:r>
      <w:rPr/>
      <w:pict>
        <v:shape style="position:absolute;margin-left:251.047897pt;margin-top:36.863914pt;width:126.05pt;height:14pt;mso-position-horizontal-relative:page;mso-position-vertical-relative:page;z-index:-14632" type="#_x0000_t202" filled="false" stroked="false">
          <v:textbox inset="0,0,0,0">
            <w:txbxContent>
              <w:p>
                <w:pPr>
                  <w:spacing w:line="265" w:lineRule="exact" w:before="0"/>
                  <w:ind w:left="20" w:right="0" w:firstLine="0"/>
                  <w:jc w:val="left"/>
                  <w:rPr>
                    <w:sz w:val="24"/>
                  </w:rPr>
                </w:pPr>
                <w:r>
                  <w:rPr>
                    <w:sz w:val="24"/>
                  </w:rPr>
                  <w:t>SAFETY DATA SHEET</w:t>
                </w:r>
              </w:p>
            </w:txbxContent>
          </v:textbox>
          <w10:wrap type="none"/>
        </v:shape>
      </w:pict>
    </w:r>
    <w:r>
      <w:rPr/>
      <w:pict>
        <v:shape style="position:absolute;margin-left:395.070313pt;margin-top:37.636402pt;width:86.5pt;height:13.05pt;mso-position-horizontal-relative:page;mso-position-vertical-relative:page;z-index:-14608" type="#_x0000_t202" filled="false" stroked="false">
          <v:textbox inset="0,0,0,0">
            <w:txbxContent>
              <w:p>
                <w:pPr>
                  <w:spacing w:line="245" w:lineRule="exact" w:before="0"/>
                  <w:ind w:left="20" w:right="0" w:firstLine="0"/>
                  <w:jc w:val="left"/>
                  <w:rPr>
                    <w:b/>
                    <w:sz w:val="22"/>
                  </w:rPr>
                </w:pPr>
                <w:r>
                  <w:rPr>
                    <w:b/>
                    <w:sz w:val="22"/>
                  </w:rPr>
                  <w:t>EasyDecon Part 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9"/>
      <w:numFmt w:val="decimal"/>
      <w:lvlText w:val="%1."/>
      <w:lvlJc w:val="left"/>
      <w:pPr>
        <w:ind w:left="452" w:hanging="312"/>
        <w:jc w:val="left"/>
      </w:pPr>
      <w:rPr>
        <w:rFonts w:hint="default" w:ascii="Times New Roman" w:hAnsi="Times New Roman" w:eastAsia="Times New Roman" w:cs="Times New Roman"/>
        <w:b/>
        <w:bCs/>
        <w:w w:val="100"/>
        <w:sz w:val="22"/>
        <w:szCs w:val="22"/>
      </w:rPr>
    </w:lvl>
    <w:lvl w:ilvl="1">
      <w:start w:val="1"/>
      <w:numFmt w:val="bullet"/>
      <w:lvlText w:val="•"/>
      <w:lvlJc w:val="left"/>
      <w:pPr>
        <w:ind w:left="1406" w:hanging="312"/>
      </w:pPr>
      <w:rPr>
        <w:rFonts w:hint="default"/>
      </w:rPr>
    </w:lvl>
    <w:lvl w:ilvl="2">
      <w:start w:val="1"/>
      <w:numFmt w:val="bullet"/>
      <w:lvlText w:val="•"/>
      <w:lvlJc w:val="left"/>
      <w:pPr>
        <w:ind w:left="2352" w:hanging="312"/>
      </w:pPr>
      <w:rPr>
        <w:rFonts w:hint="default"/>
      </w:rPr>
    </w:lvl>
    <w:lvl w:ilvl="3">
      <w:start w:val="1"/>
      <w:numFmt w:val="bullet"/>
      <w:lvlText w:val="•"/>
      <w:lvlJc w:val="left"/>
      <w:pPr>
        <w:ind w:left="3298" w:hanging="312"/>
      </w:pPr>
      <w:rPr>
        <w:rFonts w:hint="default"/>
      </w:rPr>
    </w:lvl>
    <w:lvl w:ilvl="4">
      <w:start w:val="1"/>
      <w:numFmt w:val="bullet"/>
      <w:lvlText w:val="•"/>
      <w:lvlJc w:val="left"/>
      <w:pPr>
        <w:ind w:left="4244" w:hanging="312"/>
      </w:pPr>
      <w:rPr>
        <w:rFonts w:hint="default"/>
      </w:rPr>
    </w:lvl>
    <w:lvl w:ilvl="5">
      <w:start w:val="1"/>
      <w:numFmt w:val="bullet"/>
      <w:lvlText w:val="•"/>
      <w:lvlJc w:val="left"/>
      <w:pPr>
        <w:ind w:left="5190" w:hanging="312"/>
      </w:pPr>
      <w:rPr>
        <w:rFonts w:hint="default"/>
      </w:rPr>
    </w:lvl>
    <w:lvl w:ilvl="6">
      <w:start w:val="1"/>
      <w:numFmt w:val="bullet"/>
      <w:lvlText w:val="•"/>
      <w:lvlJc w:val="left"/>
      <w:pPr>
        <w:ind w:left="6136" w:hanging="312"/>
      </w:pPr>
      <w:rPr>
        <w:rFonts w:hint="default"/>
      </w:rPr>
    </w:lvl>
    <w:lvl w:ilvl="7">
      <w:start w:val="1"/>
      <w:numFmt w:val="bullet"/>
      <w:lvlText w:val="•"/>
      <w:lvlJc w:val="left"/>
      <w:pPr>
        <w:ind w:left="7082" w:hanging="312"/>
      </w:pPr>
      <w:rPr>
        <w:rFonts w:hint="default"/>
      </w:rPr>
    </w:lvl>
    <w:lvl w:ilvl="8">
      <w:start w:val="1"/>
      <w:numFmt w:val="bullet"/>
      <w:lvlText w:val="•"/>
      <w:lvlJc w:val="left"/>
      <w:pPr>
        <w:ind w:left="8028" w:hanging="312"/>
      </w:pPr>
      <w:rPr>
        <w:rFonts w:hint="default"/>
      </w:rPr>
    </w:lvl>
  </w:abstractNum>
  <w:abstractNum w:abstractNumId="1">
    <w:multiLevelType w:val="hybridMultilevel"/>
    <w:lvl w:ilvl="0">
      <w:start w:val="6"/>
      <w:numFmt w:val="decimal"/>
      <w:lvlText w:val="%1."/>
      <w:lvlJc w:val="left"/>
      <w:pPr>
        <w:ind w:left="452" w:hanging="312"/>
        <w:jc w:val="left"/>
      </w:pPr>
      <w:rPr>
        <w:rFonts w:hint="default" w:ascii="Times New Roman" w:hAnsi="Times New Roman" w:eastAsia="Times New Roman" w:cs="Times New Roman"/>
        <w:b/>
        <w:bCs/>
        <w:w w:val="100"/>
        <w:sz w:val="22"/>
        <w:szCs w:val="22"/>
      </w:rPr>
    </w:lvl>
    <w:lvl w:ilvl="1">
      <w:start w:val="1"/>
      <w:numFmt w:val="bullet"/>
      <w:lvlText w:val="•"/>
      <w:lvlJc w:val="left"/>
      <w:pPr>
        <w:ind w:left="1406" w:hanging="312"/>
      </w:pPr>
      <w:rPr>
        <w:rFonts w:hint="default"/>
      </w:rPr>
    </w:lvl>
    <w:lvl w:ilvl="2">
      <w:start w:val="1"/>
      <w:numFmt w:val="bullet"/>
      <w:lvlText w:val="•"/>
      <w:lvlJc w:val="left"/>
      <w:pPr>
        <w:ind w:left="2352" w:hanging="312"/>
      </w:pPr>
      <w:rPr>
        <w:rFonts w:hint="default"/>
      </w:rPr>
    </w:lvl>
    <w:lvl w:ilvl="3">
      <w:start w:val="1"/>
      <w:numFmt w:val="bullet"/>
      <w:lvlText w:val="•"/>
      <w:lvlJc w:val="left"/>
      <w:pPr>
        <w:ind w:left="3298" w:hanging="312"/>
      </w:pPr>
      <w:rPr>
        <w:rFonts w:hint="default"/>
      </w:rPr>
    </w:lvl>
    <w:lvl w:ilvl="4">
      <w:start w:val="1"/>
      <w:numFmt w:val="bullet"/>
      <w:lvlText w:val="•"/>
      <w:lvlJc w:val="left"/>
      <w:pPr>
        <w:ind w:left="4244" w:hanging="312"/>
      </w:pPr>
      <w:rPr>
        <w:rFonts w:hint="default"/>
      </w:rPr>
    </w:lvl>
    <w:lvl w:ilvl="5">
      <w:start w:val="1"/>
      <w:numFmt w:val="bullet"/>
      <w:lvlText w:val="•"/>
      <w:lvlJc w:val="left"/>
      <w:pPr>
        <w:ind w:left="5190" w:hanging="312"/>
      </w:pPr>
      <w:rPr>
        <w:rFonts w:hint="default"/>
      </w:rPr>
    </w:lvl>
    <w:lvl w:ilvl="6">
      <w:start w:val="1"/>
      <w:numFmt w:val="bullet"/>
      <w:lvlText w:val="•"/>
      <w:lvlJc w:val="left"/>
      <w:pPr>
        <w:ind w:left="6136" w:hanging="312"/>
      </w:pPr>
      <w:rPr>
        <w:rFonts w:hint="default"/>
      </w:rPr>
    </w:lvl>
    <w:lvl w:ilvl="7">
      <w:start w:val="1"/>
      <w:numFmt w:val="bullet"/>
      <w:lvlText w:val="•"/>
      <w:lvlJc w:val="left"/>
      <w:pPr>
        <w:ind w:left="7082" w:hanging="312"/>
      </w:pPr>
      <w:rPr>
        <w:rFonts w:hint="default"/>
      </w:rPr>
    </w:lvl>
    <w:lvl w:ilvl="8">
      <w:start w:val="1"/>
      <w:numFmt w:val="bullet"/>
      <w:lvlText w:val="•"/>
      <w:lvlJc w:val="left"/>
      <w:pPr>
        <w:ind w:left="8028" w:hanging="312"/>
      </w:pPr>
      <w:rPr>
        <w:rFonts w:hint="default"/>
      </w:rPr>
    </w:lvl>
  </w:abstractNum>
  <w:abstractNum w:abstractNumId="0">
    <w:multiLevelType w:val="hybridMultilevel"/>
    <w:lvl w:ilvl="0">
      <w:start w:val="1"/>
      <w:numFmt w:val="decimal"/>
      <w:lvlText w:val="%1."/>
      <w:lvlJc w:val="left"/>
      <w:pPr>
        <w:ind w:left="452" w:hanging="312"/>
        <w:jc w:val="left"/>
      </w:pPr>
      <w:rPr>
        <w:rFonts w:hint="default" w:ascii="Times New Roman" w:hAnsi="Times New Roman" w:eastAsia="Times New Roman" w:cs="Times New Roman"/>
        <w:b/>
        <w:bCs/>
        <w:w w:val="100"/>
        <w:sz w:val="22"/>
        <w:szCs w:val="22"/>
      </w:rPr>
    </w:lvl>
    <w:lvl w:ilvl="1">
      <w:start w:val="1"/>
      <w:numFmt w:val="bullet"/>
      <w:lvlText w:val="•"/>
      <w:lvlJc w:val="left"/>
      <w:pPr>
        <w:ind w:left="1406" w:hanging="312"/>
      </w:pPr>
      <w:rPr>
        <w:rFonts w:hint="default"/>
      </w:rPr>
    </w:lvl>
    <w:lvl w:ilvl="2">
      <w:start w:val="1"/>
      <w:numFmt w:val="bullet"/>
      <w:lvlText w:val="•"/>
      <w:lvlJc w:val="left"/>
      <w:pPr>
        <w:ind w:left="2352" w:hanging="312"/>
      </w:pPr>
      <w:rPr>
        <w:rFonts w:hint="default"/>
      </w:rPr>
    </w:lvl>
    <w:lvl w:ilvl="3">
      <w:start w:val="1"/>
      <w:numFmt w:val="bullet"/>
      <w:lvlText w:val="•"/>
      <w:lvlJc w:val="left"/>
      <w:pPr>
        <w:ind w:left="3298" w:hanging="312"/>
      </w:pPr>
      <w:rPr>
        <w:rFonts w:hint="default"/>
      </w:rPr>
    </w:lvl>
    <w:lvl w:ilvl="4">
      <w:start w:val="1"/>
      <w:numFmt w:val="bullet"/>
      <w:lvlText w:val="•"/>
      <w:lvlJc w:val="left"/>
      <w:pPr>
        <w:ind w:left="4244" w:hanging="312"/>
      </w:pPr>
      <w:rPr>
        <w:rFonts w:hint="default"/>
      </w:rPr>
    </w:lvl>
    <w:lvl w:ilvl="5">
      <w:start w:val="1"/>
      <w:numFmt w:val="bullet"/>
      <w:lvlText w:val="•"/>
      <w:lvlJc w:val="left"/>
      <w:pPr>
        <w:ind w:left="5190" w:hanging="312"/>
      </w:pPr>
      <w:rPr>
        <w:rFonts w:hint="default"/>
      </w:rPr>
    </w:lvl>
    <w:lvl w:ilvl="6">
      <w:start w:val="1"/>
      <w:numFmt w:val="bullet"/>
      <w:lvlText w:val="•"/>
      <w:lvlJc w:val="left"/>
      <w:pPr>
        <w:ind w:left="6136" w:hanging="312"/>
      </w:pPr>
      <w:rPr>
        <w:rFonts w:hint="default"/>
      </w:rPr>
    </w:lvl>
    <w:lvl w:ilvl="7">
      <w:start w:val="1"/>
      <w:numFmt w:val="bullet"/>
      <w:lvlText w:val="•"/>
      <w:lvlJc w:val="left"/>
      <w:pPr>
        <w:ind w:left="7082" w:hanging="312"/>
      </w:pPr>
      <w:rPr>
        <w:rFonts w:hint="default"/>
      </w:rPr>
    </w:lvl>
    <w:lvl w:ilvl="8">
      <w:start w:val="1"/>
      <w:numFmt w:val="bullet"/>
      <w:lvlText w:val="•"/>
      <w:lvlJc w:val="left"/>
      <w:pPr>
        <w:ind w:left="8028" w:hanging="31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52" w:hanging="422"/>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spacing w:before="108"/>
      <w:ind w:left="142" w:right="414"/>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452" w:hanging="422"/>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dcterms:created xsi:type="dcterms:W3CDTF">2016-07-13T16:30:37Z</dcterms:created>
  <dcterms:modified xsi:type="dcterms:W3CDTF">2016-07-13T16:30:37Z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Microsoft® Word 2010</vt:lpwstr>
  </property>
  <property fmtid="{D5CDD505-2E9C-101B-9397-08002B2CF9AE}" pid="4" name="LastSaved">
    <vt:filetime>2016-07-13T00:00:00Z</vt:filetime>
  </property>
</Properties>
</file>